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Board Request for Accounting Reports Official Records and Management Transition</w:t>
      </w:r>
    </w:p>
    <w:p>
      <w:pPr>
        <w:widowControl/>
      </w:pPr>
      <w:r>
        <w:rPr>
          <w:b/>
        </w:rPr>
        <w:t>[Association Legal Name]</w:t>
      </w:r>
      <w:r>
        <w:br/>
      </w:r>
      <w:r>
        <w:rPr>
          <w:b w:val="0"/>
        </w:rPr>
        <w:t>[Notice Date]</w:t>
      </w:r>
    </w:p>
    <w:p>
      <w:pPr>
        <w:widowControl/>
      </w:pPr>
      <w:r>
        <w:rPr>
          <w:b w:val="0"/>
        </w:rPr>
        <w:t>To: [Current Management Company]</w:t>
      </w:r>
      <w:r>
        <w:br/>
      </w:r>
      <w:r>
        <w:rPr>
          <w:b w:val="0"/>
        </w:rPr>
        <w:t>[Current Manager Email]</w:t>
      </w:r>
    </w:p>
    <w:p>
      <w:pPr>
        <w:widowControl/>
      </w:pPr>
      <w:r>
        <w:rPr>
          <w:b w:val="0"/>
        </w:rPr>
        <w:t>Via: [Delivery method required by the management agreement / certified mail, return receipt requested]</w:t>
      </w:r>
    </w:p>
    <w:p>
      <w:pPr>
        <w:widowControl/>
      </w:pPr>
      <w:r>
        <w:rPr>
          <w:b w:val="0"/>
        </w:rPr>
        <w:t>Dear Management Team:</w:t>
      </w:r>
    </w:p>
    <w:p>
      <w:pPr>
        <w:widowControl/>
      </w:pPr>
      <w:r>
        <w:rPr>
          <w:b w:val="0"/>
        </w:rPr>
        <w:t xml:space="preserve">On behalf of the Board of Directors, we authorize </w:t>
      </w:r>
      <w:r>
        <w:rPr>
          <w:b/>
        </w:rPr>
        <w:t>myHomeSpot.com</w:t>
      </w:r>
      <w:r>
        <w:rPr>
          <w:b w:val="0"/>
        </w:rPr>
        <w:t xml:space="preserve"> to receive the Association’s records and coordinate our management transition. Please direct deliveries and communications to:</w:t>
      </w:r>
    </w:p>
    <w:p>
      <w:pPr>
        <w:widowControl/>
      </w:pPr>
      <w:r>
        <w:rPr>
          <w:b/>
        </w:rPr>
        <w:t>Casey Hunley, Onboarding Specialist</w:t>
      </w:r>
      <w:r>
        <w:br/>
      </w:r>
      <w:r>
        <w:rPr>
          <w:b w:val="0"/>
        </w:rPr>
        <w:t>myHomeSpot.com</w:t>
      </w:r>
      <w:r>
        <w:br/>
      </w:r>
      <w:r>
        <w:rPr>
          <w:b w:val="0"/>
        </w:rPr>
        <w:t>225 N Pace Blvd, Pensacola, FL 32505</w:t>
      </w:r>
      <w:r>
        <w:br/>
      </w:r>
      <w:r>
        <w:rPr>
          <w:b w:val="0"/>
        </w:rPr>
        <w:t>Casey@myHomeSpot.com | (850) 304-2611</w:t>
      </w:r>
    </w:p>
    <w:p>
      <w:pPr>
        <w:widowControl/>
      </w:pPr>
      <w:r>
        <w:rPr>
          <w:b/>
        </w:rPr>
        <w:t>1. Initial setup accounting reports and transferable data.</w:t>
      </w:r>
      <w:r>
        <w:rPr>
          <w:b w:val="0"/>
        </w:rPr>
        <w:t xml:space="preserve"> Provide the reports and data exports in Attachment A immediately, with initial delivery requested by </w:t>
      </w:r>
      <w:r>
        <w:rPr>
          <w:b/>
        </w:rPr>
        <w:t>[Day 10 Date] (Day 10)</w:t>
      </w:r>
      <w:r>
        <w:rPr>
          <w:b w:val="0"/>
        </w:rPr>
        <w:t>. Provide Excel/CSV exports wherever supported, together with PDF reports used to verify balances. PDF is acceptable for supporting documents and reports unavailable in an exportable format; identify export limitations in your Day 5 reply. Preserve account identifiers and transaction details. Casey will coordinate the receiving system’s file requirements. Provide an Association-specific system backup or complete export, if available. Deliver available items without waiting for the entire package. Casey can provide a secure server upload link, or you may deliver a USB stick to the address above.</w:t>
      </w:r>
    </w:p>
    <w:p>
      <w:pPr>
        <w:widowControl/>
      </w:pPr>
      <w:r>
        <w:rPr>
          <w:b/>
        </w:rPr>
        <w:t>2. Complete, accurate records and delivery inventory.</w:t>
      </w:r>
      <w:r>
        <w:rPr>
          <w:b w:val="0"/>
        </w:rPr>
        <w:t xml:space="preserve"> Return the applicable records in Attachment B, including records held by staff, accounting providers, or other custodians on the Association’s behalf. With each delivery, identify the attachment item number, records and dates delivered, and file or box location. Explain incomplete, missing, unavailable, or inapplicable items; identify the responsible contact and expected delivery date. Disclose unreconciled periods and known discrepancies; do not label incomplete figures as final.</w:t>
      </w:r>
    </w:p>
    <w:p>
      <w:pPr>
        <w:widowControl/>
      </w:pPr>
      <w:r>
        <w:rPr>
          <w:b w:val="0"/>
        </w:rPr>
        <w:t>For condominiums, §718.111(12)(c)1.b requires an inspection-response checklist identifying records made available and not made available, retained for seven years. The Board directs use of the attached inventory for this transition whether governed by Chapter 718 or Chapter 720. Chapter 720 does not contain the same inspection-response checklist requirement.</w:t>
      </w:r>
    </w:p>
    <w:p>
      <w:pPr>
        <w:widowControl/>
      </w:pPr>
      <w:r>
        <w:rPr>
          <w:b/>
        </w:rPr>
        <w:t>3. Records-access and return deadlines.</w:t>
      </w:r>
      <w:r>
        <w:rPr>
          <w:b w:val="0"/>
        </w:rPr>
        <w:t xml:space="preserve"> For qualifying owner-inspection requests, §718.111(12)(b) requires access “within 10 working days after receipt of a written request by the board or its designee”; §720.303(5)(a) requires access “within 10 business days after receipt by the board or its designee of a written request from the parcel owner.” This communication is separately the Board’s written request for return under §468.4334(4), requiring a community association manager or management firm to return official records in its possession within 20 business days after contract termination or receipt of a written request, whichever occurs first. The proposed schedule does not extend any earlier statutory deadline.</w:t>
      </w:r>
    </w:p>
    <w:p>
      <w:pPr>
        <w:widowControl/>
      </w:pPr>
      <w:r>
        <w:rPr>
          <w:b/>
        </w:rPr>
        <w:t>4. Board-authorized $5,000 Starting Balance transfer.</w:t>
      </w:r>
      <w:r>
        <w:rPr>
          <w:b w:val="0"/>
        </w:rPr>
        <w:t xml:space="preserve"> By [Day 10 Date], issue a </w:t>
      </w:r>
      <w:r>
        <w:rPr>
          <w:b/>
        </w:rPr>
        <w:t>$5,000 check payable to [Association Legal Name]</w:t>
      </w:r>
      <w:r>
        <w:rPr>
          <w:b w:val="0"/>
        </w:rPr>
        <w:t xml:space="preserve"> from Association operating funds and deliver it to Casey for deposit into the new Association operating account. This communication may serve as invoice documentation and written Board authorization. Record a transfer of Association funds, not an expense or management fee.</w:t>
      </w:r>
    </w:p>
    <w:p>
      <w:pPr>
        <w:widowControl/>
      </w:pPr>
      <w:r>
        <w:rPr>
          <w:b/>
        </w:rPr>
        <w:t>5. Proposed transition schedule.</w:t>
      </w:r>
      <w:r>
        <w:rPr>
          <w:b w:val="0"/>
        </w:rPr>
        <w:t xml:space="preserve"> These are calendar days measured from this notice; statutory deadlines retain their specified working/business-day basis.</w:t>
      </w:r>
    </w:p>
    <w:p>
      <w:pPr>
        <w:widowControl/>
      </w:pPr>
      <w:r>
        <w:rPr>
          <w:b/>
        </w:rPr>
        <w:t>5.1 — Reply by Day 5: [Day 5 Date].</w:t>
      </w:r>
      <w:r>
        <w:rPr>
          <w:b w:val="0"/>
        </w:rPr>
        <w:t xml:space="preserve"> Confirm receipt; identify your accounting software, export capabilities, and accounting contact; and state your proposed last date for routine accounting entries and final management termination date. Confirm this schedule or identify the contractual provision affecting it.</w:t>
      </w:r>
    </w:p>
    <w:p>
      <w:pPr>
        <w:widowControl/>
      </w:pPr>
      <w:r>
        <w:rPr>
          <w:b/>
        </w:rPr>
        <w:t>5.2 — Accounting cutoff, Day 20: [Day 20 Date].</w:t>
      </w:r>
      <w:r>
        <w:rPr>
          <w:b w:val="0"/>
        </w:rPr>
        <w:t xml:space="preserve"> End routine entries only after timely delivery of the initial setup package and Casey’s written confirmation of readiness. Supply updated balances, open items, and transactions through cutoff, with no gap since initial delivery. Confirm responsibility for subsequent receipts, payments, recurring assessments, and automatic transactions. Identify later closing adjustments by transaction number, posting date, account, and amount, coordinating entry with Casey to prevent duplication. Identify and assign discrepancies for correction. A revised cutoff requires written coordination and does not automatically extend the management agreement.</w:t>
      </w:r>
    </w:p>
    <w:p>
      <w:pPr>
        <w:widowControl/>
      </w:pPr>
      <w:r>
        <w:rPr>
          <w:b/>
        </w:rPr>
        <w:t>5.3 — Management end and official-records handoff, Day 30: [Day 30 Date].</w:t>
      </w:r>
      <w:r>
        <w:rPr>
          <w:b w:val="0"/>
        </w:rPr>
        <w:t xml:space="preserve"> Complete the records, inventory, keys, credentials, and administrative-access handoff by this date or any earlier statutory deadline. Day 30 is the proposed management end date, subject to the agreement’s termination requirements or written mutual agreement.</w:t>
      </w:r>
    </w:p>
    <w:p>
      <w:pPr>
        <w:widowControl/>
      </w:pPr>
      <w:r>
        <w:rPr>
          <w:b/>
        </w:rPr>
        <w:t>5.4 — Final accounting and remaining funds, no later than Day 45: [Day 45 Date].</w:t>
      </w:r>
      <w:r>
        <w:rPr>
          <w:b w:val="0"/>
        </w:rPr>
        <w:t xml:space="preserve"> Coordinate outstanding checks and automatic transactions with Casey; close the outgoing Association bank account(s); provide final bank statements, reconciliations, and account-closure confirmation; and remit all remaining balances payable to the Association. Identify unresolved transactions and their disposition. Deliver existing records earlier as required and supplement the inventory as closing records are created.</w:t>
      </w:r>
    </w:p>
    <w:p>
      <w:pPr>
        <w:widowControl/>
      </w:pPr>
      <w:r>
        <w:rPr>
          <w:b w:val="0"/>
        </w:rPr>
        <w:t>Please reference the specific numbered item for any exception, delay, or missing record. Confirm your delivery plan to Casey, copying the Board President and Onboarding@myHomeSpot.com.</w:t>
      </w:r>
    </w:p>
    <w:p>
      <w:pPr>
        <w:widowControl/>
      </w:pPr>
      <w:r>
        <w:rPr>
          <w:b w:val="0"/>
        </w:rPr>
        <w:t>Sincerely,</w:t>
      </w:r>
      <w:r>
        <w:br/>
      </w:r>
      <w:r>
        <w:rPr>
          <w:b/>
        </w:rPr>
        <w:t>[Board President Name]</w:t>
      </w:r>
      <w:r>
        <w:br/>
      </w:r>
      <w:r>
        <w:rPr>
          <w:b w:val="0"/>
        </w:rPr>
        <w:t>President, [Association Legal Name]</w:t>
      </w:r>
      <w:r>
        <w:br/>
      </w:r>
      <w:r>
        <w:rPr>
          <w:b w:val="0"/>
        </w:rPr>
        <w:t>[Board President Email]</w:t>
      </w:r>
    </w:p>
    <w:p>
      <w:pPr>
        <w:widowControl/>
      </w:pPr>
      <w:r>
        <w:rPr>
          <w:b w:val="0"/>
        </w:rPr>
        <w:t>Enclosures: Attachment A — Accounting Reports and Data Transfer; Attachment B — Official Records and Delivery Inventory.</w:t>
      </w:r>
    </w:p>
    <w:p>
      <w:pPr>
        <w:widowControl/>
      </w:pPr>
      <w:r>
        <w:rPr>
          <w:b w:val="0"/>
        </w:rPr>
        <w:t xml:space="preserve">Statutory references: </w:t>
      </w:r>
      <w:r>
        <w:rPr>
          <w:i/>
        </w:rPr>
        <w:t>§720.303</w:t>
      </w:r>
      <w:r>
        <w:rPr>
          <w:b w:val="0"/>
        </w:rPr>
        <w:t xml:space="preserve">; </w:t>
      </w:r>
      <w:r>
        <w:rPr>
          <w:i/>
        </w:rPr>
        <w:t>§468.4334</w:t>
      </w:r>
      <w:r>
        <w:rPr>
          <w:b w:val="0"/>
        </w:rPr>
        <w:t>.</w:t>
      </w:r>
    </w:p>
    <w:p>
      <w:r>
        <w:br w:type="page"/>
      </w:r>
    </w:p>
    <w:p>
      <w:pPr>
        <w:pStyle w:val="Title"/>
      </w:pPr>
      <w:r>
        <w:t>Attachment A Initial Setup Accounting Reports and Data Transfer</w:t>
      </w:r>
    </w:p>
    <w:p>
      <w:pPr>
        <w:widowControl/>
      </w:pPr>
      <w:r>
        <w:rPr>
          <w:b/>
        </w:rPr>
        <w:t>[Association Legal Name]</w:t>
      </w:r>
      <w:r>
        <w:br/>
      </w:r>
      <w:r>
        <w:rPr>
          <w:b w:val="0"/>
        </w:rPr>
        <w:t>Notice: [Notice Date] · Initial delivery: [Day 10 Date] · Proposed cutoff: [Day 20 Date]</w:t>
      </w:r>
    </w:p>
    <w:p>
      <w:pPr>
        <w:widowControl/>
      </w:pPr>
      <w:r>
        <w:rPr>
          <w:b w:val="0"/>
        </w:rPr>
        <w:t>For every item, report Complete / Partial / Missing / Not applicable, reporting dates, file location, responsible contact, and completion date. Provide Excel/CSV where supported, preserving identifiers, and readable PDF verification reports and supporting documents. These are Board-requested deliverables; Attachment B identifies statutory record categories.</w:t>
      </w:r>
    </w:p>
    <w:p>
      <w:pPr>
        <w:widowControl/>
      </w:pPr>
      <w:r>
        <w:rPr>
          <w:b w:val="0"/>
        </w:rPr>
        <w:t>Use the last fiscal/calendar year-end for A.1. Use the most recent reconciled period initially for A.2, then refresh applicable reports and exports through the agreed cutoff.</w:t>
      </w:r>
    </w:p>
    <w:p>
      <w:pPr>
        <w:pStyle w:val="Heading1"/>
      </w:pPr>
      <w:r>
        <w:t>A 1 Prior year closing balances</w:t>
      </w:r>
    </w:p>
    <w:p>
      <w:pPr>
        <w:keepLines/>
        <w:ind w:left="216" w:hanging="216"/>
      </w:pPr>
      <w:r>
        <w:rPr>
          <w:b w:val="0"/>
        </w:rPr>
        <w:t xml:space="preserve">☐ </w:t>
      </w:r>
      <w:r>
        <w:rPr>
          <w:b/>
        </w:rPr>
        <w:t>A.1.01</w:t>
      </w:r>
      <w:r>
        <w:rPr>
          <w:b w:val="0"/>
        </w:rPr>
        <w:t xml:space="preserve"> — Final trial balance, showing account codes, names, and debit/credit balances.</w:t>
      </w:r>
    </w:p>
    <w:p>
      <w:pPr>
        <w:keepLines/>
        <w:ind w:left="216" w:hanging="216"/>
      </w:pPr>
      <w:r>
        <w:rPr>
          <w:b w:val="0"/>
        </w:rPr>
        <w:t xml:space="preserve">☐ </w:t>
      </w:r>
      <w:r>
        <w:rPr>
          <w:b/>
        </w:rPr>
        <w:t>A.1.02</w:t>
      </w:r>
      <w:r>
        <w:rPr>
          <w:b w:val="0"/>
        </w:rPr>
        <w:t xml:space="preserve"> — Year-end income statement.</w:t>
      </w:r>
    </w:p>
    <w:p>
      <w:pPr>
        <w:keepLines/>
        <w:ind w:left="216" w:hanging="216"/>
      </w:pPr>
      <w:r>
        <w:rPr>
          <w:b w:val="0"/>
        </w:rPr>
        <w:t xml:space="preserve">☐ </w:t>
      </w:r>
      <w:r>
        <w:rPr>
          <w:b/>
        </w:rPr>
        <w:t>A.1.03</w:t>
      </w:r>
      <w:r>
        <w:rPr>
          <w:b w:val="0"/>
        </w:rPr>
        <w:t xml:space="preserve"> — Year-end balance sheet.</w:t>
      </w:r>
    </w:p>
    <w:p>
      <w:pPr>
        <w:keepLines/>
        <w:ind w:left="216" w:hanging="216"/>
      </w:pPr>
      <w:r>
        <w:rPr>
          <w:b w:val="0"/>
        </w:rPr>
        <w:t xml:space="preserve">☐ </w:t>
      </w:r>
      <w:r>
        <w:rPr>
          <w:b/>
        </w:rPr>
        <w:t>A.1.04</w:t>
      </w:r>
      <w:r>
        <w:rPr>
          <w:b w:val="0"/>
        </w:rPr>
        <w:t xml:space="preserve"> — Year-end bank reconciliations for every account, including outstanding checks and deposits.</w:t>
      </w:r>
    </w:p>
    <w:p>
      <w:pPr>
        <w:keepLines/>
        <w:ind w:left="216" w:hanging="216"/>
      </w:pPr>
      <w:r>
        <w:rPr>
          <w:b w:val="0"/>
        </w:rPr>
        <w:t xml:space="preserve">☐ </w:t>
      </w:r>
      <w:r>
        <w:rPr>
          <w:b/>
        </w:rPr>
        <w:t>A.1.05</w:t>
      </w:r>
      <w:r>
        <w:rPr>
          <w:b w:val="0"/>
        </w:rPr>
        <w:t xml:space="preserve"> — Corresponding bank statements for every account.</w:t>
      </w:r>
    </w:p>
    <w:p>
      <w:pPr>
        <w:keepLines/>
        <w:ind w:left="216" w:hanging="216"/>
      </w:pPr>
      <w:r>
        <w:rPr>
          <w:b w:val="0"/>
        </w:rPr>
        <w:t xml:space="preserve">☐ </w:t>
      </w:r>
      <w:r>
        <w:rPr>
          <w:b/>
        </w:rPr>
        <w:t>A.1.06</w:t>
      </w:r>
      <w:r>
        <w:rPr>
          <w:b w:val="0"/>
        </w:rPr>
        <w:t xml:space="preserve"> — Tax returns and filings: Form 1120 or 1120-H, as filed; Forms 1099/1096; and intangible tax filings, if applicable.</w:t>
      </w:r>
    </w:p>
    <w:p>
      <w:pPr>
        <w:keepLines/>
        <w:ind w:left="216" w:hanging="216"/>
      </w:pPr>
      <w:r>
        <w:rPr>
          <w:b w:val="0"/>
        </w:rPr>
        <w:t xml:space="preserve">☐ </w:t>
      </w:r>
      <w:r>
        <w:rPr>
          <w:b/>
        </w:rPr>
        <w:t>A.1.07</w:t>
      </w:r>
      <w:r>
        <w:rPr>
          <w:b w:val="0"/>
        </w:rPr>
        <w:t xml:space="preserve"> — Required year-end audit, review, compilation, or cash receipts and expenditures report, as applicable, including applicable DBPR requirements. Include subsequent year-end adjusting entries.</w:t>
      </w:r>
    </w:p>
    <w:p>
      <w:pPr>
        <w:pStyle w:val="Heading1"/>
      </w:pPr>
      <w:r>
        <w:t>A 2 Current year reports and account data</w:t>
      </w:r>
    </w:p>
    <w:p>
      <w:pPr>
        <w:keepLines/>
        <w:ind w:left="216" w:hanging="216"/>
      </w:pPr>
      <w:r>
        <w:rPr>
          <w:b w:val="0"/>
        </w:rPr>
        <w:t xml:space="preserve">☐ </w:t>
      </w:r>
      <w:r>
        <w:rPr>
          <w:b/>
        </w:rPr>
        <w:t>A.2.01</w:t>
      </w:r>
      <w:r>
        <w:rPr>
          <w:b w:val="0"/>
        </w:rPr>
        <w:t xml:space="preserve"> — Chart of accounts: account codes, names, types, active/inactive status, and fund or department assignments.</w:t>
      </w:r>
    </w:p>
    <w:p>
      <w:pPr>
        <w:keepLines/>
        <w:ind w:left="216" w:hanging="216"/>
      </w:pPr>
      <w:r>
        <w:rPr>
          <w:b w:val="0"/>
        </w:rPr>
        <w:t xml:space="preserve">☐ </w:t>
      </w:r>
      <w:r>
        <w:rPr>
          <w:b/>
        </w:rPr>
        <w:t>A.2.02</w:t>
      </w:r>
      <w:r>
        <w:rPr>
          <w:b w:val="0"/>
        </w:rPr>
        <w:t xml:space="preserve"> — Approved current-year budget, including account codes, fund allocations, and monthly amounts where maintained.</w:t>
      </w:r>
    </w:p>
    <w:p>
      <w:pPr>
        <w:keepLines/>
        <w:ind w:left="216" w:hanging="216"/>
      </w:pPr>
      <w:r>
        <w:rPr>
          <w:b w:val="0"/>
        </w:rPr>
        <w:t xml:space="preserve">☐ </w:t>
      </w:r>
      <w:r>
        <w:rPr>
          <w:b/>
        </w:rPr>
        <w:t>A.2.03</w:t>
      </w:r>
      <w:r>
        <w:rPr>
          <w:b w:val="0"/>
        </w:rPr>
        <w:t xml:space="preserve"> — Trial balance with account codes and debit/credit balances, by fund where maintained.</w:t>
      </w:r>
    </w:p>
    <w:p>
      <w:pPr>
        <w:keepLines/>
        <w:ind w:left="216" w:hanging="216"/>
      </w:pPr>
      <w:r>
        <w:rPr>
          <w:b w:val="0"/>
        </w:rPr>
        <w:t xml:space="preserve">☐ </w:t>
      </w:r>
      <w:r>
        <w:rPr>
          <w:b/>
        </w:rPr>
        <w:t>A.2.04</w:t>
      </w:r>
      <w:r>
        <w:rPr>
          <w:b w:val="0"/>
        </w:rPr>
        <w:t xml:space="preserve"> — Income statement showing current-period and year-to-date activity.</w:t>
      </w:r>
    </w:p>
    <w:p>
      <w:pPr>
        <w:keepLines/>
        <w:ind w:left="216" w:hanging="216"/>
      </w:pPr>
      <w:r>
        <w:rPr>
          <w:b w:val="0"/>
        </w:rPr>
        <w:t xml:space="preserve">☐ </w:t>
      </w:r>
      <w:r>
        <w:rPr>
          <w:b/>
        </w:rPr>
        <w:t>A.2.05</w:t>
      </w:r>
      <w:r>
        <w:rPr>
          <w:b w:val="0"/>
        </w:rPr>
        <w:t xml:space="preserve"> — Balance sheet, identifying operating, reserve, and other restricted balances.</w:t>
      </w:r>
    </w:p>
    <w:p>
      <w:pPr>
        <w:keepLines/>
        <w:ind w:left="216" w:hanging="216"/>
      </w:pPr>
      <w:r>
        <w:rPr>
          <w:b w:val="0"/>
        </w:rPr>
        <w:t xml:space="preserve">☐ </w:t>
      </w:r>
      <w:r>
        <w:rPr>
          <w:b/>
        </w:rPr>
        <w:t>A.2.06</w:t>
      </w:r>
      <w:r>
        <w:rPr>
          <w:b w:val="0"/>
        </w:rPr>
        <w:t xml:space="preserve"> — Reconciliations for all bank, investment, and payment-clearing accounts; identify the last reconciled date and unresolved differences.</w:t>
      </w:r>
    </w:p>
    <w:p>
      <w:pPr>
        <w:keepLines/>
        <w:ind w:left="216" w:hanging="216"/>
      </w:pPr>
      <w:r>
        <w:rPr>
          <w:b w:val="0"/>
        </w:rPr>
        <w:t xml:space="preserve">☐ </w:t>
      </w:r>
      <w:r>
        <w:rPr>
          <w:b/>
        </w:rPr>
        <w:t>A.2.07</w:t>
      </w:r>
      <w:r>
        <w:rPr>
          <w:b w:val="0"/>
        </w:rPr>
        <w:t xml:space="preserve"> — Corresponding bank/investment statements and available subsequent activity through cutoff.</w:t>
      </w:r>
    </w:p>
    <w:p>
      <w:pPr>
        <w:keepLines/>
        <w:ind w:left="216" w:hanging="216"/>
      </w:pPr>
      <w:r>
        <w:rPr>
          <w:b w:val="0"/>
        </w:rPr>
        <w:t xml:space="preserve">☐ </w:t>
      </w:r>
      <w:r>
        <w:rPr>
          <w:b/>
        </w:rPr>
        <w:t>A.2.08</w:t>
      </w:r>
      <w:r>
        <w:rPr>
          <w:b w:val="0"/>
        </w:rPr>
        <w:t xml:space="preserve"> — Full retained owner ledger history: owner/account ID, unit/lot ID, transaction ID, posting and due dates, charge type, description, charges, payments, credits, adjustments, and running balances. Include payment-to-charge allocations where maintained and identify unavailable earlier history.</w:t>
      </w:r>
    </w:p>
    <w:p>
      <w:pPr>
        <w:keepLines/>
        <w:ind w:left="216" w:hanging="216"/>
      </w:pPr>
      <w:r>
        <w:rPr>
          <w:b w:val="0"/>
        </w:rPr>
        <w:t xml:space="preserve">☐ </w:t>
      </w:r>
      <w:r>
        <w:rPr>
          <w:b/>
        </w:rPr>
        <w:t>A.2.09</w:t>
      </w:r>
      <w:r>
        <w:rPr>
          <w:b w:val="0"/>
        </w:rPr>
        <w:t xml:space="preserve"> — Open owner balances and aging: each unpaid charge’s original amount, payments/credits applied, remaining amount, due date, and charge code. Separately identify prepayments, unapplied cash, credits, refundable deposits, and payment plans.</w:t>
      </w:r>
    </w:p>
    <w:p>
      <w:pPr>
        <w:keepLines/>
        <w:ind w:left="216" w:hanging="216"/>
      </w:pPr>
      <w:r>
        <w:rPr>
          <w:b w:val="0"/>
        </w:rPr>
        <w:t xml:space="preserve">☐ </w:t>
      </w:r>
      <w:r>
        <w:rPr>
          <w:b/>
        </w:rPr>
        <w:t>A.2.10</w:t>
      </w:r>
      <w:r>
        <w:rPr>
          <w:b w:val="0"/>
        </w:rPr>
        <w:t xml:space="preserve"> — Open vendor bills and aging: vendor ID, invoice number/date, due date, original and unpaid amounts, account/fund coding, payments applied, and supporting invoices. Include vendor credits and unapplied payments.</w:t>
      </w:r>
    </w:p>
    <w:p>
      <w:pPr>
        <w:keepLines/>
        <w:ind w:left="216" w:hanging="216"/>
      </w:pPr>
      <w:r>
        <w:rPr>
          <w:b w:val="0"/>
        </w:rPr>
        <w:t xml:space="preserve">☐ </w:t>
      </w:r>
      <w:r>
        <w:rPr>
          <w:b/>
        </w:rPr>
        <w:t>A.2.11</w:t>
      </w:r>
      <w:r>
        <w:rPr>
          <w:b w:val="0"/>
        </w:rPr>
        <w:t xml:space="preserve"> — Year-to-date vendor payments, including vendor ID, payment date, amount, method, reference, and 1099-reportable amounts/categories where maintained.</w:t>
      </w:r>
    </w:p>
    <w:p>
      <w:pPr>
        <w:keepLines/>
        <w:ind w:left="216" w:hanging="216"/>
      </w:pPr>
      <w:r>
        <w:rPr>
          <w:b w:val="0"/>
        </w:rPr>
        <w:t xml:space="preserve">☐ </w:t>
      </w:r>
      <w:r>
        <w:rPr>
          <w:b/>
        </w:rPr>
        <w:t>A.2.12</w:t>
      </w:r>
      <w:r>
        <w:rPr>
          <w:b w:val="0"/>
        </w:rPr>
        <w:t xml:space="preserve"> — Vendor master file: unique ID, legal/corporate name, TIN/EIN, W-9 where held, mailing address, phone, email, account number, payment terms, and 1099 status.</w:t>
      </w:r>
    </w:p>
    <w:p>
      <w:pPr>
        <w:keepLines/>
        <w:ind w:left="216" w:hanging="216"/>
      </w:pPr>
      <w:r>
        <w:rPr>
          <w:b w:val="0"/>
        </w:rPr>
        <w:t xml:space="preserve">☐ </w:t>
      </w:r>
      <w:r>
        <w:rPr>
          <w:b/>
        </w:rPr>
        <w:t>A.2.13</w:t>
      </w:r>
      <w:r>
        <w:rPr>
          <w:b w:val="0"/>
        </w:rPr>
        <w:t xml:space="preserve"> — Owner/property master file: unique owner/account ID, unit/lot ID and property address, owner names, mailing address, phone, email, ownership dates, and active/former-owner status. Preserve separate accounts for different ownership periods.</w:t>
      </w:r>
    </w:p>
    <w:p>
      <w:pPr>
        <w:keepLines/>
        <w:ind w:left="216" w:hanging="216"/>
      </w:pPr>
      <w:r>
        <w:rPr>
          <w:b w:val="0"/>
        </w:rPr>
        <w:t xml:space="preserve">☐ </w:t>
      </w:r>
      <w:r>
        <w:rPr>
          <w:b/>
        </w:rPr>
        <w:t>A.2.14</w:t>
      </w:r>
      <w:r>
        <w:rPr>
          <w:b w:val="0"/>
        </w:rPr>
        <w:t xml:space="preserve"> — Detailed general ledger from fiscal-year start through cutoff: transaction and journal IDs, dates, descriptions, account/fund codes, debits, credits, and linked owner/vendor IDs where maintained.</w:t>
      </w:r>
    </w:p>
    <w:p>
      <w:pPr>
        <w:keepLines/>
        <w:ind w:left="216" w:hanging="216"/>
      </w:pPr>
      <w:r>
        <w:rPr>
          <w:b w:val="0"/>
        </w:rPr>
        <w:t xml:space="preserve">☐ </w:t>
      </w:r>
      <w:r>
        <w:rPr>
          <w:b/>
        </w:rPr>
        <w:t>A.2.15</w:t>
      </w:r>
      <w:r>
        <w:rPr>
          <w:b w:val="0"/>
        </w:rPr>
        <w:t xml:space="preserve"> — Check and payment register from fiscal-year start through cutoff, including checks, electronic payments, voids, reversals, and cleared/outstanding status.</w:t>
      </w:r>
    </w:p>
    <w:p>
      <w:pPr>
        <w:keepLines/>
        <w:ind w:left="216" w:hanging="216"/>
      </w:pPr>
      <w:r>
        <w:rPr>
          <w:b w:val="0"/>
        </w:rPr>
        <w:t xml:space="preserve">☐ </w:t>
      </w:r>
      <w:r>
        <w:rPr>
          <w:b/>
        </w:rPr>
        <w:t>A.2.16</w:t>
      </w:r>
      <w:r>
        <w:rPr>
          <w:b w:val="0"/>
        </w:rPr>
        <w:t xml:space="preserve"> — Fiscal-year dates, accounting basis, last closed period, last reconciled period, and differences in reporting basis. Use January 1 as year-to-date start unless the Association uses a different fiscal year; confirm that range with Casey.</w:t>
      </w:r>
    </w:p>
    <w:p>
      <w:pPr>
        <w:keepLines/>
        <w:ind w:left="216" w:hanging="216"/>
      </w:pPr>
      <w:r>
        <w:rPr>
          <w:b w:val="0"/>
        </w:rPr>
        <w:t xml:space="preserve">☐ </w:t>
      </w:r>
      <w:r>
        <w:rPr>
          <w:b/>
        </w:rPr>
        <w:t>A.2.17</w:t>
      </w:r>
      <w:r>
        <w:rPr>
          <w:b w:val="0"/>
        </w:rPr>
        <w:t xml:space="preserve"> — Exception list identifying missing records, unreconciled periods, unposted items, and known differences among reports and ledgers.</w:t>
      </w:r>
    </w:p>
    <w:p>
      <w:pPr>
        <w:pStyle w:val="Heading1"/>
      </w:pPr>
      <w:r>
        <w:t>A 3 Migration and cutoff controls</w:t>
      </w:r>
    </w:p>
    <w:p>
      <w:pPr>
        <w:keepLines/>
        <w:ind w:left="216" w:hanging="216"/>
      </w:pPr>
      <w:r>
        <w:rPr>
          <w:b w:val="0"/>
        </w:rPr>
        <w:t xml:space="preserve">☐ </w:t>
      </w:r>
      <w:r>
        <w:rPr>
          <w:b/>
        </w:rPr>
        <w:t>A.3.01</w:t>
      </w:r>
      <w:r>
        <w:rPr>
          <w:b w:val="0"/>
        </w:rPr>
        <w:t xml:space="preserve"> — System and export information: accounting software name/version, export options, field/code definitions, and accounting contact. Provide an Association-specific backup or complete export if available; exclude other clients’ data.</w:t>
      </w:r>
    </w:p>
    <w:p>
      <w:pPr>
        <w:keepLines/>
        <w:ind w:left="216" w:hanging="216"/>
      </w:pPr>
      <w:r>
        <w:rPr>
          <w:b w:val="0"/>
        </w:rPr>
        <w:t xml:space="preserve">☐ </w:t>
      </w:r>
      <w:r>
        <w:rPr>
          <w:b/>
        </w:rPr>
        <w:t>A.3.02</w:t>
      </w:r>
      <w:r>
        <w:rPr>
          <w:b w:val="0"/>
        </w:rPr>
        <w:t xml:space="preserve"> — Assessment setup: regular and special assessment schedules, amounts by unit/lot or assessment class, frequency, next billing date, installments remaining, and approved late-fee/interest settings. Identify charges already posted beyond cutoff.</w:t>
      </w:r>
    </w:p>
    <w:p>
      <w:pPr>
        <w:keepLines/>
        <w:ind w:left="216" w:hanging="216"/>
      </w:pPr>
      <w:r>
        <w:rPr>
          <w:b w:val="0"/>
        </w:rPr>
        <w:t xml:space="preserve">☐ </w:t>
      </w:r>
      <w:r>
        <w:rPr>
          <w:b/>
        </w:rPr>
        <w:t>A.3.03</w:t>
      </w:r>
      <w:r>
        <w:rPr>
          <w:b w:val="0"/>
        </w:rPr>
        <w:t xml:space="preserve"> — Automatic transactions: recurring bills, scheduled payments, owner autopay arrangements, and pending payment batches, with responsible party and stop/start dates. Coordinate payment authorizations with the provider; exclude raw payment-card credentials.</w:t>
      </w:r>
    </w:p>
    <w:p>
      <w:pPr>
        <w:keepLines/>
        <w:ind w:left="216" w:hanging="216"/>
      </w:pPr>
      <w:r>
        <w:rPr>
          <w:b w:val="0"/>
        </w:rPr>
        <w:t xml:space="preserve">☐ </w:t>
      </w:r>
      <w:r>
        <w:rPr>
          <w:b/>
        </w:rPr>
        <w:t>A.3.04</w:t>
      </w:r>
      <w:r>
        <w:rPr>
          <w:b w:val="0"/>
        </w:rPr>
        <w:t xml:space="preserve"> — Outstanding cash items: uncleared checks, deposits in transit, pending electronic payments, processor settlements, returned payments, and transfers between accounts, with dates, references, amounts, and related ledger entries.</w:t>
      </w:r>
    </w:p>
    <w:p>
      <w:pPr>
        <w:keepLines/>
        <w:ind w:left="216" w:hanging="216"/>
      </w:pPr>
      <w:r>
        <w:rPr>
          <w:b w:val="0"/>
        </w:rPr>
        <w:t xml:space="preserve">☐ </w:t>
      </w:r>
      <w:r>
        <w:rPr>
          <w:b/>
        </w:rPr>
        <w:t>A.3.05</w:t>
      </w:r>
      <w:r>
        <w:rPr>
          <w:b w:val="0"/>
        </w:rPr>
        <w:t xml:space="preserve"> — Other balance support: schedules supporting reserves, restricted funds, interfund balances, loans, fixed assets/depreciation, prepaid expenses, accruals, and deposits, where applicable.</w:t>
      </w:r>
    </w:p>
    <w:p>
      <w:pPr>
        <w:keepLines/>
        <w:ind w:left="216" w:hanging="216"/>
      </w:pPr>
      <w:r>
        <w:rPr>
          <w:b w:val="0"/>
        </w:rPr>
        <w:t xml:space="preserve">☐ </w:t>
      </w:r>
      <w:r>
        <w:rPr>
          <w:b/>
        </w:rPr>
        <w:t>A.3.06</w:t>
      </w:r>
      <w:r>
        <w:rPr>
          <w:b w:val="0"/>
        </w:rPr>
        <w:t xml:space="preserve"> — Cutoff update: updated trial balance, owner/vendor open items, bank activity, and transactions through the agreed cutoff. Label exports as complete replacements or incremental updates and preserve identifiers to prevent duplication.</w:t>
      </w:r>
    </w:p>
    <w:p>
      <w:pPr>
        <w:keepLines/>
        <w:ind w:left="216" w:hanging="216"/>
      </w:pPr>
      <w:r>
        <w:rPr>
          <w:b w:val="0"/>
        </w:rPr>
        <w:t xml:space="preserve">☐ </w:t>
      </w:r>
      <w:r>
        <w:rPr>
          <w:b/>
        </w:rPr>
        <w:t>A.3.07</w:t>
      </w:r>
      <w:r>
        <w:rPr>
          <w:b w:val="0"/>
        </w:rPr>
        <w:t xml:space="preserve"> — Reconciliation and acceptance: provide totals demonstrating that owner balances reconcile to their applicable control accounts, vendor balances reconcile to accounts payable, and adjusted bank balances reconcile to cash accounts. Explain every difference. Casey will confirm the import method and validate the receiving system before accepting the accounting cutoff.</w:t>
      </w:r>
    </w:p>
    <w:p>
      <w:pPr>
        <w:keepLines/>
        <w:ind w:left="216" w:hanging="216"/>
      </w:pPr>
      <w:r>
        <w:rPr>
          <w:b w:val="0"/>
        </w:rPr>
        <w:t xml:space="preserve">☐ </w:t>
      </w:r>
      <w:r>
        <w:rPr>
          <w:b/>
        </w:rPr>
        <w:t>A.3.08</w:t>
      </w:r>
      <w:r>
        <w:rPr>
          <w:b w:val="0"/>
        </w:rPr>
        <w:t xml:space="preserve"> — Closing adjustments: separate schedule of entries made after cutoff, with supporting documents and revised reports. Reference previously delivered transaction IDs for corrections or reversals.</w:t>
      </w:r>
    </w:p>
    <w:p>
      <w:pPr>
        <w:widowControl/>
      </w:pPr>
      <w:r>
        <w:rPr>
          <w:b/>
        </w:rPr>
        <w:t>Casey Hunley, Onboarding Specialist</w:t>
      </w:r>
      <w:r>
        <w:br/>
      </w:r>
      <w:r>
        <w:rPr>
          <w:b w:val="0"/>
        </w:rPr>
        <w:t>myHomeSpot.com</w:t>
      </w:r>
      <w:r>
        <w:br/>
      </w:r>
      <w:r>
        <w:rPr>
          <w:b w:val="0"/>
        </w:rPr>
        <w:t>225 N Pace Blvd, Pensacola, FL 32505</w:t>
      </w:r>
      <w:r>
        <w:br/>
      </w:r>
      <w:r>
        <w:rPr>
          <w:b w:val="0"/>
        </w:rPr>
        <w:t>Casey@myHomeSpot.com | (850) 304-2611</w:t>
      </w:r>
    </w:p>
    <w:p>
      <w:r>
        <w:br w:type="page"/>
      </w:r>
    </w:p>
    <w:p>
      <w:pPr>
        <w:pStyle w:val="Title"/>
      </w:pPr>
      <w:r>
        <w:t>Attachment B Official Records Checklist and Delivery Inventory</w:t>
      </w:r>
    </w:p>
    <w:p>
      <w:pPr>
        <w:widowControl/>
      </w:pPr>
      <w:r>
        <w:rPr>
          <w:b/>
        </w:rPr>
        <w:t>[Association Legal Name]</w:t>
      </w:r>
      <w:r>
        <w:br/>
      </w:r>
      <w:r>
        <w:rPr>
          <w:b w:val="0"/>
        </w:rPr>
        <w:t>Applicable chapter: [Choose Chapter 718 — Condominium or Chapter 720 — HOA]</w:t>
      </w:r>
    </w:p>
    <w:p>
      <w:pPr>
        <w:widowControl/>
      </w:pPr>
      <w:r>
        <w:rPr>
          <w:b/>
        </w:rPr>
        <w:t>B.0 — Inventory instructions.</w:t>
      </w:r>
      <w:r>
        <w:rPr>
          <w:b w:val="0"/>
        </w:rPr>
        <w:t xml:space="preserve"> Complete the statutory section applicable to the Association and the additional transition items. For each applicable item, record Complete / Partial / Missing / Not applicable, date range, file or box location, and any missing portion with an explanation, custodian, and delivery date. A checked box alone does not establish completeness.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2016"/>
        <w:gridCol w:w="2016"/>
        <w:gridCol w:w="2016"/>
        <w:gridCol w:w="2016"/>
      </w:tblGrid>
      <w:tr>
        <w:tc>
          <w:tcPr>
            <w:tcW w:type="dxa" w:w="1008"/>
            <w:shd w:fill="E7EEF4"/>
          </w:tcPr>
          <w:p>
            <w:r>
              <w:rPr>
                <w:b/>
                <w:sz w:val="18"/>
              </w:rPr>
              <w:t>Item</w:t>
            </w:r>
          </w:p>
        </w:tc>
        <w:tc>
          <w:tcPr>
            <w:tcW w:type="dxa" w:w="1152"/>
            <w:shd w:fill="E7EEF4"/>
          </w:tcPr>
          <w:p>
            <w:r>
              <w:rPr>
                <w:b/>
                <w:sz w:val="18"/>
              </w:rPr>
              <w:t>Status</w:t>
            </w:r>
          </w:p>
        </w:tc>
        <w:tc>
          <w:tcPr>
            <w:tcW w:type="dxa" w:w="2160"/>
            <w:shd w:fill="E7EEF4"/>
          </w:tcPr>
          <w:p>
            <w:r>
              <w:rPr>
                <w:b/>
                <w:sz w:val="18"/>
              </w:rPr>
              <w:t>Records and dates</w:t>
            </w:r>
          </w:p>
        </w:tc>
        <w:tc>
          <w:tcPr>
            <w:tcW w:type="dxa" w:w="1584"/>
            <w:shd w:fill="E7EEF4"/>
          </w:tcPr>
          <w:p>
            <w:r>
              <w:rPr>
                <w:b/>
                <w:sz w:val="18"/>
              </w:rPr>
              <w:t>File or box</w:t>
            </w:r>
          </w:p>
        </w:tc>
        <w:tc>
          <w:tcPr>
            <w:tcW w:type="dxa" w:w="4176"/>
            <w:shd w:fill="E7EEF4"/>
          </w:tcPr>
          <w:p>
            <w:r>
              <w:rPr>
                <w:b/>
                <w:sz w:val="18"/>
              </w:rPr>
              <w:t>Exception / custodian / delivery date</w:t>
            </w:r>
          </w:p>
        </w:tc>
      </w:tr>
      <w:tr>
        <w:tc>
          <w:tcPr>
            <w:tcW w:type="dxa" w:w="2016"/>
          </w:tcPr>
          <w:p/>
        </w:tc>
        <w:tc>
          <w:tcPr>
            <w:tcW w:type="dxa" w:w="2016"/>
          </w:tcPr>
          <w:p/>
        </w:tc>
        <w:tc>
          <w:tcPr>
            <w:tcW w:type="dxa" w:w="2016"/>
          </w:tcPr>
          <w:p/>
        </w:tc>
        <w:tc>
          <w:tcPr>
            <w:tcW w:type="dxa" w:w="2016"/>
          </w:tcPr>
          <w:p/>
        </w:tc>
        <w:tc>
          <w:tcPr>
            <w:tcW w:type="dxa" w:w="2016"/>
          </w:tcPr>
          <w:p/>
        </w:tc>
      </w:tr>
      <w:tr>
        <w:tc>
          <w:tcPr>
            <w:tcW w:type="dxa" w:w="2016"/>
          </w:tcPr>
          <w:p/>
        </w:tc>
        <w:tc>
          <w:tcPr>
            <w:tcW w:type="dxa" w:w="2016"/>
          </w:tcPr>
          <w:p/>
        </w:tc>
        <w:tc>
          <w:tcPr>
            <w:tcW w:type="dxa" w:w="2016"/>
          </w:tcPr>
          <w:p/>
        </w:tc>
        <w:tc>
          <w:tcPr>
            <w:tcW w:type="dxa" w:w="2016"/>
          </w:tcPr>
          <w:p/>
        </w:tc>
        <w:tc>
          <w:tcPr>
            <w:tcW w:type="dxa" w:w="2016"/>
          </w:tcPr>
          <w:p/>
        </w:tc>
      </w:tr>
      <w:tr>
        <w:tc>
          <w:tcPr>
            <w:tcW w:type="dxa" w:w="2016"/>
          </w:tcPr>
          <w:p/>
        </w:tc>
        <w:tc>
          <w:tcPr>
            <w:tcW w:type="dxa" w:w="2016"/>
          </w:tcPr>
          <w:p/>
        </w:tc>
        <w:tc>
          <w:tcPr>
            <w:tcW w:type="dxa" w:w="2016"/>
          </w:tcPr>
          <w:p/>
        </w:tc>
        <w:tc>
          <w:tcPr>
            <w:tcW w:type="dxa" w:w="2016"/>
          </w:tcPr>
          <w:p/>
        </w:tc>
        <w:tc>
          <w:tcPr>
            <w:tcW w:type="dxa" w:w="2016"/>
          </w:tcPr>
          <w:p/>
        </w:tc>
      </w:tr>
    </w:tbl>
    <w:p>
      <w:pPr>
        <w:widowControl/>
      </w:pPr>
      <w:r>
        <w:rPr>
          <w:b w:val="0"/>
        </w:rPr>
        <w:t>Prepared by / company: ____________________   Delivery date: __________</w:t>
      </w:r>
    </w:p>
    <w:p>
      <w:pPr>
        <w:pStyle w:val="Heading1"/>
      </w:pPr>
      <w:r>
        <w:t>B 718 Statutory official records</w:t>
      </w:r>
    </w:p>
    <w:p>
      <w:pPr>
        <w:keepLines/>
        <w:ind w:left="216" w:hanging="216"/>
      </w:pPr>
      <w:r>
        <w:rPr>
          <w:b w:val="0"/>
        </w:rPr>
        <w:t xml:space="preserve">☐ </w:t>
      </w:r>
      <w:r>
        <w:rPr>
          <w:b/>
        </w:rPr>
        <w:t>B.718.01</w:t>
      </w:r>
      <w:r>
        <w:rPr>
          <w:b w:val="0"/>
        </w:rPr>
        <w:t xml:space="preserve"> — §718.111(12)(a)1: Developer-delivered plans, permits, warranties, and other turnover materials required by §718.301(4).</w:t>
      </w:r>
    </w:p>
    <w:p>
      <w:pPr>
        <w:keepLines/>
        <w:ind w:left="216" w:hanging="216"/>
      </w:pPr>
      <w:r>
        <w:rPr>
          <w:b w:val="0"/>
        </w:rPr>
        <w:t xml:space="preserve">☐ </w:t>
      </w:r>
      <w:r>
        <w:rPr>
          <w:b/>
        </w:rPr>
        <w:t>B.718.02</w:t>
      </w:r>
      <w:r>
        <w:rPr>
          <w:b w:val="0"/>
        </w:rPr>
        <w:t xml:space="preserve"> — §718.111(12)(a)2: Recorded declaration for each condominium and every amendment.</w:t>
      </w:r>
    </w:p>
    <w:p>
      <w:pPr>
        <w:keepLines/>
        <w:ind w:left="216" w:hanging="216"/>
      </w:pPr>
      <w:r>
        <w:rPr>
          <w:b w:val="0"/>
        </w:rPr>
        <w:t xml:space="preserve">☐ </w:t>
      </w:r>
      <w:r>
        <w:rPr>
          <w:b/>
        </w:rPr>
        <w:t>B.718.03</w:t>
      </w:r>
      <w:r>
        <w:rPr>
          <w:b w:val="0"/>
        </w:rPr>
        <w:t xml:space="preserve"> — §718.111(12)(a)3: Recorded bylaws and every amendment.</w:t>
      </w:r>
    </w:p>
    <w:p>
      <w:pPr>
        <w:keepLines/>
        <w:ind w:left="216" w:hanging="216"/>
      </w:pPr>
      <w:r>
        <w:rPr>
          <w:b w:val="0"/>
        </w:rPr>
        <w:t xml:space="preserve">☐ </w:t>
      </w:r>
      <w:r>
        <w:rPr>
          <w:b/>
        </w:rPr>
        <w:t>B.718.04</w:t>
      </w:r>
      <w:r>
        <w:rPr>
          <w:b w:val="0"/>
        </w:rPr>
        <w:t xml:space="preserve"> — §718.111(12)(a)4: Certified articles of incorporation or other formation documents, and amendments.</w:t>
      </w:r>
    </w:p>
    <w:p>
      <w:pPr>
        <w:keepLines/>
        <w:ind w:left="216" w:hanging="216"/>
      </w:pPr>
      <w:r>
        <w:rPr>
          <w:b w:val="0"/>
        </w:rPr>
        <w:t xml:space="preserve">☐ </w:t>
      </w:r>
      <w:r>
        <w:rPr>
          <w:b/>
        </w:rPr>
        <w:t>B.718.05</w:t>
      </w:r>
      <w:r>
        <w:rPr>
          <w:b w:val="0"/>
        </w:rPr>
        <w:t xml:space="preserve"> — §718.111(12)(a)5: Current association rules.</w:t>
      </w:r>
    </w:p>
    <w:p>
      <w:pPr>
        <w:keepLines/>
        <w:ind w:left="216" w:hanging="216"/>
      </w:pPr>
      <w:r>
        <w:rPr>
          <w:b w:val="0"/>
        </w:rPr>
        <w:t xml:space="preserve">☐ </w:t>
      </w:r>
      <w:r>
        <w:rPr>
          <w:b/>
        </w:rPr>
        <w:t>B.718.06</w:t>
      </w:r>
      <w:r>
        <w:rPr>
          <w:b w:val="0"/>
        </w:rPr>
        <w:t xml:space="preserve"> — §718.111(12)(a)6: Minutes of association, board, committee, and unit-owner meetings; required videoconference recordings.</w:t>
      </w:r>
    </w:p>
    <w:p>
      <w:pPr>
        <w:keepLines/>
        <w:ind w:left="216" w:hanging="216"/>
      </w:pPr>
      <w:r>
        <w:rPr>
          <w:b w:val="0"/>
        </w:rPr>
        <w:t xml:space="preserve">☐ </w:t>
      </w:r>
      <w:r>
        <w:rPr>
          <w:b/>
        </w:rPr>
        <w:t>B.718.07</w:t>
      </w:r>
      <w:r>
        <w:rPr>
          <w:b w:val="0"/>
        </w:rPr>
        <w:t xml:space="preserve"> — §718.111(12)(a)7: Current owner roster, mailing addresses, unit identifications, voting certifications, known telephone numbers, and applicable electronic-notice contact information.</w:t>
      </w:r>
    </w:p>
    <w:p>
      <w:pPr>
        <w:keepLines/>
        <w:ind w:left="216" w:hanging="216"/>
      </w:pPr>
      <w:r>
        <w:rPr>
          <w:b w:val="0"/>
        </w:rPr>
        <w:t xml:space="preserve">☐ </w:t>
      </w:r>
      <w:r>
        <w:rPr>
          <w:b/>
        </w:rPr>
        <w:t>B.718.08</w:t>
      </w:r>
      <w:r>
        <w:rPr>
          <w:b w:val="0"/>
        </w:rPr>
        <w:t xml:space="preserve"> — §718.111(12)(a)8: Current insurance policies for the Association and its condominiums.</w:t>
      </w:r>
    </w:p>
    <w:p>
      <w:pPr>
        <w:keepLines/>
        <w:ind w:left="216" w:hanging="216"/>
      </w:pPr>
      <w:r>
        <w:rPr>
          <w:b w:val="0"/>
        </w:rPr>
        <w:t xml:space="preserve">☐ </w:t>
      </w:r>
      <w:r>
        <w:rPr>
          <w:b/>
        </w:rPr>
        <w:t>B.718.09</w:t>
      </w:r>
      <w:r>
        <w:rPr>
          <w:b w:val="0"/>
        </w:rPr>
        <w:t xml:space="preserve"> — §718.111(12)(a)9: Current management agreements, leases, and other contracts imposing obligations on the Association or owners.</w:t>
      </w:r>
    </w:p>
    <w:p>
      <w:pPr>
        <w:keepLines/>
        <w:ind w:left="216" w:hanging="216"/>
      </w:pPr>
      <w:r>
        <w:rPr>
          <w:b w:val="0"/>
        </w:rPr>
        <w:t xml:space="preserve">☐ </w:t>
      </w:r>
      <w:r>
        <w:rPr>
          <w:b/>
        </w:rPr>
        <w:t>B.718.10</w:t>
      </w:r>
      <w:r>
        <w:rPr>
          <w:b w:val="0"/>
        </w:rPr>
        <w:t xml:space="preserve"> — §718.111(12)(a)10: Bills of sale or transfer for Association-owned property.</w:t>
      </w:r>
    </w:p>
    <w:p>
      <w:pPr>
        <w:keepLines/>
        <w:ind w:left="216" w:hanging="216"/>
      </w:pPr>
      <w:r>
        <w:rPr>
          <w:b w:val="0"/>
        </w:rPr>
        <w:t xml:space="preserve">☐ </w:t>
      </w:r>
      <w:r>
        <w:rPr>
          <w:b/>
        </w:rPr>
        <w:t>B.718.11</w:t>
      </w:r>
      <w:r>
        <w:rPr>
          <w:b w:val="0"/>
        </w:rPr>
        <w:t xml:space="preserve"> — §718.111(12)(a)11: Association accounting records, with separate records for each condominium operated.</w:t>
      </w:r>
    </w:p>
    <w:p>
      <w:pPr>
        <w:keepLines/>
        <w:ind w:left="216" w:hanging="216"/>
      </w:pPr>
      <w:r>
        <w:rPr>
          <w:b w:val="0"/>
        </w:rPr>
        <w:t xml:space="preserve">☐ </w:t>
      </w:r>
      <w:r>
        <w:rPr>
          <w:b/>
        </w:rPr>
        <w:t>B.718.11a</w:t>
      </w:r>
      <w:r>
        <w:rPr>
          <w:b w:val="0"/>
        </w:rPr>
        <w:t xml:space="preserve"> — §718.111(12)(a)11.a: Detailed receipts and expenditures, bank statements, and ledgers.</w:t>
      </w:r>
    </w:p>
    <w:p>
      <w:pPr>
        <w:keepLines/>
        <w:ind w:left="216" w:hanging="216"/>
      </w:pPr>
      <w:r>
        <w:rPr>
          <w:b w:val="0"/>
        </w:rPr>
        <w:t xml:space="preserve">☐ </w:t>
      </w:r>
      <w:r>
        <w:rPr>
          <w:b/>
        </w:rPr>
        <w:t>B.718.11b</w:t>
      </w:r>
      <w:r>
        <w:rPr>
          <w:b w:val="0"/>
        </w:rPr>
        <w:t xml:space="preserve"> — §718.111(12)(a)11.b: Supporting invoices, transaction receipts, and deposit slips.</w:t>
      </w:r>
    </w:p>
    <w:p>
      <w:pPr>
        <w:keepLines/>
        <w:ind w:left="216" w:hanging="216"/>
      </w:pPr>
      <w:r>
        <w:rPr>
          <w:b w:val="0"/>
        </w:rPr>
        <w:t xml:space="preserve">☐ </w:t>
      </w:r>
      <w:r>
        <w:rPr>
          <w:b/>
        </w:rPr>
        <w:t>B.718.11c</w:t>
      </w:r>
      <w:r>
        <w:rPr>
          <w:b w:val="0"/>
        </w:rPr>
        <w:t xml:space="preserve"> — §718.111(12)(a)11.c: Current unit accounts and periodic statements identifying owners, assessments, payments, and balances.</w:t>
      </w:r>
    </w:p>
    <w:p>
      <w:pPr>
        <w:keepLines/>
        <w:ind w:left="216" w:hanging="216"/>
      </w:pPr>
      <w:r>
        <w:rPr>
          <w:b w:val="0"/>
        </w:rPr>
        <w:t xml:space="preserve">☐ </w:t>
      </w:r>
      <w:r>
        <w:rPr>
          <w:b/>
        </w:rPr>
        <w:t>B.718.11d</w:t>
      </w:r>
      <w:r>
        <w:rPr>
          <w:b w:val="0"/>
        </w:rPr>
        <w:t xml:space="preserve"> — §718.111(12)(a)11.d: Audits, reviews, accounting statements, structural integrity reserve studies, and financial reports.</w:t>
      </w:r>
    </w:p>
    <w:p>
      <w:pPr>
        <w:keepLines/>
        <w:ind w:left="216" w:hanging="216"/>
      </w:pPr>
      <w:r>
        <w:rPr>
          <w:b w:val="0"/>
        </w:rPr>
        <w:t xml:space="preserve">☐ </w:t>
      </w:r>
      <w:r>
        <w:rPr>
          <w:b/>
        </w:rPr>
        <w:t>B.718.11e</w:t>
      </w:r>
      <w:r>
        <w:rPr>
          <w:b w:val="0"/>
        </w:rPr>
        <w:t xml:space="preserve"> — §718.111(12)(a)11.e: Contracts and bids for work.</w:t>
      </w:r>
    </w:p>
    <w:p>
      <w:pPr>
        <w:keepLines/>
        <w:ind w:left="216" w:hanging="216"/>
      </w:pPr>
      <w:r>
        <w:rPr>
          <w:b w:val="0"/>
        </w:rPr>
        <w:t xml:space="preserve">☐ </w:t>
      </w:r>
      <w:r>
        <w:rPr>
          <w:b/>
        </w:rPr>
        <w:t>B.718.12</w:t>
      </w:r>
      <w:r>
        <w:rPr>
          <w:b w:val="0"/>
        </w:rPr>
        <w:t xml:space="preserve"> — §718.111(12)(a)12: Ballots, sign-in sheets, proxies, and other paper or electronic voting records.</w:t>
      </w:r>
    </w:p>
    <w:p>
      <w:pPr>
        <w:keepLines/>
        <w:ind w:left="216" w:hanging="216"/>
      </w:pPr>
      <w:r>
        <w:rPr>
          <w:b w:val="0"/>
        </w:rPr>
        <w:t xml:space="preserve">☐ </w:t>
      </w:r>
      <w:r>
        <w:rPr>
          <w:b/>
        </w:rPr>
        <w:t>B.718.13</w:t>
      </w:r>
      <w:r>
        <w:rPr>
          <w:b w:val="0"/>
        </w:rPr>
        <w:t xml:space="preserve"> — §718.111(12)(a)13: Rental records where the Association acts as rental agent.</w:t>
      </w:r>
    </w:p>
    <w:p>
      <w:pPr>
        <w:keepLines/>
        <w:ind w:left="216" w:hanging="216"/>
      </w:pPr>
      <w:r>
        <w:rPr>
          <w:b w:val="0"/>
        </w:rPr>
        <w:t xml:space="preserve">☐ </w:t>
      </w:r>
      <w:r>
        <w:rPr>
          <w:b/>
        </w:rPr>
        <w:t>B.718.14</w:t>
      </w:r>
      <w:r>
        <w:rPr>
          <w:b w:val="0"/>
        </w:rPr>
        <w:t xml:space="preserve"> — §718.111(12)(a)14: Current statutory question-and-answer sheet.</w:t>
      </w:r>
    </w:p>
    <w:p>
      <w:pPr>
        <w:keepLines/>
        <w:ind w:left="216" w:hanging="216"/>
      </w:pPr>
      <w:r>
        <w:rPr>
          <w:b w:val="0"/>
        </w:rPr>
        <w:t xml:space="preserve">☐ </w:t>
      </w:r>
      <w:r>
        <w:rPr>
          <w:b/>
        </w:rPr>
        <w:t>B.718.15</w:t>
      </w:r>
      <w:r>
        <w:rPr>
          <w:b w:val="0"/>
        </w:rPr>
        <w:t xml:space="preserve"> — §718.111(12)(a)15: Milestone, turnover, and other structural or life-safety inspection reports.</w:t>
      </w:r>
    </w:p>
    <w:p>
      <w:pPr>
        <w:keepLines/>
        <w:ind w:left="216" w:hanging="216"/>
      </w:pPr>
      <w:r>
        <w:rPr>
          <w:b w:val="0"/>
        </w:rPr>
        <w:t xml:space="preserve">☐ </w:t>
      </w:r>
      <w:r>
        <w:rPr>
          <w:b/>
        </w:rPr>
        <w:t>B.718.16</w:t>
      </w:r>
      <w:r>
        <w:rPr>
          <w:b w:val="0"/>
        </w:rPr>
        <w:t xml:space="preserve"> — §718.111(12)(a)16: Bids for materials, equipment, or services.</w:t>
      </w:r>
    </w:p>
    <w:p>
      <w:pPr>
        <w:keepLines/>
        <w:ind w:left="216" w:hanging="216"/>
      </w:pPr>
      <w:r>
        <w:rPr>
          <w:b w:val="0"/>
        </w:rPr>
        <w:t xml:space="preserve">☐ </w:t>
      </w:r>
      <w:r>
        <w:rPr>
          <w:b/>
        </w:rPr>
        <w:t>B.718.17</w:t>
      </w:r>
      <w:r>
        <w:rPr>
          <w:b w:val="0"/>
        </w:rPr>
        <w:t xml:space="preserve"> — §718.111(12)(a)17: Affirmative acknowledgments required by §718.121(4)(c).</w:t>
      </w:r>
    </w:p>
    <w:p>
      <w:pPr>
        <w:keepLines/>
        <w:ind w:left="216" w:hanging="216"/>
      </w:pPr>
      <w:r>
        <w:rPr>
          <w:b w:val="0"/>
        </w:rPr>
        <w:t xml:space="preserve">☐ </w:t>
      </w:r>
      <w:r>
        <w:rPr>
          <w:b/>
        </w:rPr>
        <w:t>B.718.18</w:t>
      </w:r>
      <w:r>
        <w:rPr>
          <w:b w:val="0"/>
        </w:rPr>
        <w:t xml:space="preserve"> — §718.111(12)(a)18: Building permits.</w:t>
      </w:r>
    </w:p>
    <w:p>
      <w:pPr>
        <w:keepLines/>
        <w:ind w:left="216" w:hanging="216"/>
      </w:pPr>
      <w:r>
        <w:rPr>
          <w:b w:val="0"/>
        </w:rPr>
        <w:t xml:space="preserve">☐ </w:t>
      </w:r>
      <w:r>
        <w:rPr>
          <w:b/>
        </w:rPr>
        <w:t>B.718.19</w:t>
      </w:r>
      <w:r>
        <w:rPr>
          <w:b w:val="0"/>
        </w:rPr>
        <w:t xml:space="preserve"> — §718.111(12)(a)19: Completed board-member educational certificates.</w:t>
      </w:r>
    </w:p>
    <w:p>
      <w:pPr>
        <w:keepLines/>
        <w:ind w:left="216" w:hanging="216"/>
      </w:pPr>
      <w:r>
        <w:rPr>
          <w:b w:val="0"/>
        </w:rPr>
        <w:t xml:space="preserve">☐ </w:t>
      </w:r>
      <w:r>
        <w:rPr>
          <w:b/>
        </w:rPr>
        <w:t>B.718.20</w:t>
      </w:r>
      <w:r>
        <w:rPr>
          <w:b w:val="0"/>
        </w:rPr>
        <w:t xml:space="preserve"> — §718.111(12)(a)20: Affidavits required by Chapter 718.</w:t>
      </w:r>
    </w:p>
    <w:p>
      <w:pPr>
        <w:keepLines/>
        <w:ind w:left="216" w:hanging="216"/>
      </w:pPr>
      <w:r>
        <w:rPr>
          <w:b w:val="0"/>
        </w:rPr>
        <w:t xml:space="preserve">☐ </w:t>
      </w:r>
      <w:r>
        <w:rPr>
          <w:b/>
        </w:rPr>
        <w:t>B.718.21</w:t>
      </w:r>
      <w:r>
        <w:rPr>
          <w:b w:val="0"/>
        </w:rPr>
        <w:t xml:space="preserve"> — §718.111(12)(a)21: Other written records concerning Association operations.</w:t>
      </w:r>
    </w:p>
    <w:p>
      <w:pPr>
        <w:keepLines/>
        <w:ind w:left="216" w:hanging="216"/>
      </w:pPr>
      <w:r>
        <w:rPr>
          <w:b w:val="0"/>
        </w:rPr>
        <w:t xml:space="preserve">☐ </w:t>
      </w:r>
      <w:r>
        <w:rPr>
          <w:b/>
        </w:rPr>
        <w:t>B.718.22</w:t>
      </w:r>
      <w:r>
        <w:rPr>
          <w:b w:val="0"/>
        </w:rPr>
        <w:t xml:space="preserve"> — §718.111(12)(c)1.b: Retained inspection-response checklists identifying records made available and not made available.</w:t>
      </w:r>
    </w:p>
    <w:p>
      <w:pPr>
        <w:widowControl/>
      </w:pPr>
      <w:r>
        <w:rPr>
          <w:b/>
        </w:rPr>
        <w:t>Retention.</w:t>
      </w:r>
      <w:r>
        <w:rPr>
          <w:b w:val="0"/>
        </w:rPr>
        <w:t xml:space="preserve"> Under §718.111(12)(b), statutory items 1–6 are permanent records, subject to item 6’s specific videoconference-recording rule. Most other records require at least seven years unless a different period applies. Bids generally require at least one year; voting records require one year; structural integrity reserve studies and specified structural/life-safety inspection reports require 15 years. Inspection-response checklists require seven years. Identify lost or unavailable records and recovery efforts under §718.111(12)(b).</w:t>
      </w:r>
    </w:p>
    <w:p>
      <w:pPr>
        <w:pStyle w:val="Heading1"/>
      </w:pPr>
      <w:r>
        <w:t>B 720 Statutory official records</w:t>
      </w:r>
    </w:p>
    <w:p>
      <w:pPr>
        <w:keepLines/>
        <w:ind w:left="216" w:hanging="216"/>
      </w:pPr>
      <w:r>
        <w:rPr>
          <w:b w:val="0"/>
        </w:rPr>
        <w:t xml:space="preserve">☐ </w:t>
      </w:r>
      <w:r>
        <w:rPr>
          <w:b/>
        </w:rPr>
        <w:t>B.720.01</w:t>
      </w:r>
      <w:r>
        <w:rPr>
          <w:b w:val="0"/>
        </w:rPr>
        <w:t xml:space="preserve"> — §720.303(4)(a)1: Plans, specifications, permits, and warranties for improvements on common areas or other property the Association must maintain, repair, or replace.</w:t>
      </w:r>
    </w:p>
    <w:p>
      <w:pPr>
        <w:keepLines/>
        <w:ind w:left="216" w:hanging="216"/>
      </w:pPr>
      <w:r>
        <w:rPr>
          <w:b w:val="0"/>
        </w:rPr>
        <w:t xml:space="preserve">☐ </w:t>
      </w:r>
      <w:r>
        <w:rPr>
          <w:b/>
        </w:rPr>
        <w:t>B.720.02</w:t>
      </w:r>
      <w:r>
        <w:rPr>
          <w:b w:val="0"/>
        </w:rPr>
        <w:t xml:space="preserve"> — §720.303(4)(a)2: Bylaws and every amendment.</w:t>
      </w:r>
    </w:p>
    <w:p>
      <w:pPr>
        <w:keepLines/>
        <w:ind w:left="216" w:hanging="216"/>
      </w:pPr>
      <w:r>
        <w:rPr>
          <w:b w:val="0"/>
        </w:rPr>
        <w:t xml:space="preserve">☐ </w:t>
      </w:r>
      <w:r>
        <w:rPr>
          <w:b/>
        </w:rPr>
        <w:t>B.720.03</w:t>
      </w:r>
      <w:r>
        <w:rPr>
          <w:b w:val="0"/>
        </w:rPr>
        <w:t xml:space="preserve"> — §720.303(4)(a)3: Articles of incorporation and every amendment.</w:t>
      </w:r>
    </w:p>
    <w:p>
      <w:pPr>
        <w:keepLines/>
        <w:ind w:left="216" w:hanging="216"/>
      </w:pPr>
      <w:r>
        <w:rPr>
          <w:b w:val="0"/>
        </w:rPr>
        <w:t xml:space="preserve">☐ </w:t>
      </w:r>
      <w:r>
        <w:rPr>
          <w:b/>
        </w:rPr>
        <w:t>B.720.04</w:t>
      </w:r>
      <w:r>
        <w:rPr>
          <w:b w:val="0"/>
        </w:rPr>
        <w:t xml:space="preserve"> — §720.303(4)(a)4: Declaration of covenants and every amendment.</w:t>
      </w:r>
    </w:p>
    <w:p>
      <w:pPr>
        <w:keepLines/>
        <w:ind w:left="216" w:hanging="216"/>
      </w:pPr>
      <w:r>
        <w:rPr>
          <w:b w:val="0"/>
        </w:rPr>
        <w:t xml:space="preserve">☐ </w:t>
      </w:r>
      <w:r>
        <w:rPr>
          <w:b/>
        </w:rPr>
        <w:t>B.720.05</w:t>
      </w:r>
      <w:r>
        <w:rPr>
          <w:b w:val="0"/>
        </w:rPr>
        <w:t xml:space="preserve"> — §720.303(4)(a)5: Current association rules.</w:t>
      </w:r>
    </w:p>
    <w:p>
      <w:pPr>
        <w:keepLines/>
        <w:ind w:left="216" w:hanging="216"/>
      </w:pPr>
      <w:r>
        <w:rPr>
          <w:b w:val="0"/>
        </w:rPr>
        <w:t xml:space="preserve">☐ </w:t>
      </w:r>
      <w:r>
        <w:rPr>
          <w:b/>
        </w:rPr>
        <w:t>B.720.06</w:t>
      </w:r>
      <w:r>
        <w:rPr>
          <w:b w:val="0"/>
        </w:rPr>
        <w:t xml:space="preserve"> — §720.303(4)(a)6: Board and membership meeting minutes.</w:t>
      </w:r>
    </w:p>
    <w:p>
      <w:pPr>
        <w:keepLines/>
        <w:ind w:left="216" w:hanging="216"/>
      </w:pPr>
      <w:r>
        <w:rPr>
          <w:b w:val="0"/>
        </w:rPr>
        <w:t xml:space="preserve">☐ </w:t>
      </w:r>
      <w:r>
        <w:rPr>
          <w:b/>
        </w:rPr>
        <w:t>B.720.07</w:t>
      </w:r>
      <w:r>
        <w:rPr>
          <w:b w:val="0"/>
        </w:rPr>
        <w:t xml:space="preserve"> — §720.303(4)(a)7: Current member roster, designated mailing addresses, parcel identifications, and applicable electronic-notice contact information.</w:t>
      </w:r>
    </w:p>
    <w:p>
      <w:pPr>
        <w:keepLines/>
        <w:ind w:left="216" w:hanging="216"/>
      </w:pPr>
      <w:r>
        <w:rPr>
          <w:b w:val="0"/>
        </w:rPr>
        <w:t xml:space="preserve">☐ </w:t>
      </w:r>
      <w:r>
        <w:rPr>
          <w:b/>
        </w:rPr>
        <w:t>B.720.08</w:t>
      </w:r>
      <w:r>
        <w:rPr>
          <w:b w:val="0"/>
        </w:rPr>
        <w:t xml:space="preserve"> — §720.303(4)(a)8: Association insurance policies or copies.</w:t>
      </w:r>
    </w:p>
    <w:p>
      <w:pPr>
        <w:keepLines/>
        <w:ind w:left="216" w:hanging="216"/>
      </w:pPr>
      <w:r>
        <w:rPr>
          <w:b w:val="0"/>
        </w:rPr>
        <w:t xml:space="preserve">☐ </w:t>
      </w:r>
      <w:r>
        <w:rPr>
          <w:b/>
        </w:rPr>
        <w:t>B.720.09</w:t>
      </w:r>
      <w:r>
        <w:rPr>
          <w:b w:val="0"/>
        </w:rPr>
        <w:t xml:space="preserve"> — §720.303(4)(a)9: Current contracts, management agreements, leases, and retained bids for work.</w:t>
      </w:r>
    </w:p>
    <w:p>
      <w:pPr>
        <w:keepLines/>
        <w:ind w:left="216" w:hanging="216"/>
      </w:pPr>
      <w:r>
        <w:rPr>
          <w:b w:val="0"/>
        </w:rPr>
        <w:t xml:space="preserve">☐ </w:t>
      </w:r>
      <w:r>
        <w:rPr>
          <w:b/>
        </w:rPr>
        <w:t>B.720.10</w:t>
      </w:r>
      <w:r>
        <w:rPr>
          <w:b w:val="0"/>
        </w:rPr>
        <w:t xml:space="preserve"> — §720.303(4)(a)10: Financial and accounting records maintained according to good accounting practices.</w:t>
      </w:r>
    </w:p>
    <w:p>
      <w:pPr>
        <w:keepLines/>
        <w:ind w:left="216" w:hanging="216"/>
      </w:pPr>
      <w:r>
        <w:rPr>
          <w:b w:val="0"/>
        </w:rPr>
        <w:t xml:space="preserve">☐ </w:t>
      </w:r>
      <w:r>
        <w:rPr>
          <w:b/>
        </w:rPr>
        <w:t>B.720.10a</w:t>
      </w:r>
      <w:r>
        <w:rPr>
          <w:b w:val="0"/>
        </w:rPr>
        <w:t xml:space="preserve"> — §720.303(4)(a)10.a: Detailed records of receipts and expenditures.</w:t>
      </w:r>
    </w:p>
    <w:p>
      <w:pPr>
        <w:keepLines/>
        <w:ind w:left="216" w:hanging="216"/>
      </w:pPr>
      <w:r>
        <w:rPr>
          <w:b w:val="0"/>
        </w:rPr>
        <w:t xml:space="preserve">☐ </w:t>
      </w:r>
      <w:r>
        <w:rPr>
          <w:b/>
        </w:rPr>
        <w:t>B.720.10b</w:t>
      </w:r>
      <w:r>
        <w:rPr>
          <w:b w:val="0"/>
        </w:rPr>
        <w:t xml:space="preserve"> — §720.303(4)(a)10.b: Current member accounts and periodic statements showing names, addresses, charges, due dates, payments, and balances.</w:t>
      </w:r>
    </w:p>
    <w:p>
      <w:pPr>
        <w:keepLines/>
        <w:ind w:left="216" w:hanging="216"/>
      </w:pPr>
      <w:r>
        <w:rPr>
          <w:b w:val="0"/>
        </w:rPr>
        <w:t xml:space="preserve">☐ </w:t>
      </w:r>
      <w:r>
        <w:rPr>
          <w:b/>
        </w:rPr>
        <w:t>B.720.10c</w:t>
      </w:r>
      <w:r>
        <w:rPr>
          <w:b w:val="0"/>
        </w:rPr>
        <w:t xml:space="preserve"> — §720.303(4)(a)10.c: Tax returns, financial statements, and financial reports.</w:t>
      </w:r>
    </w:p>
    <w:p>
      <w:pPr>
        <w:keepLines/>
        <w:ind w:left="216" w:hanging="216"/>
      </w:pPr>
      <w:r>
        <w:rPr>
          <w:b w:val="0"/>
        </w:rPr>
        <w:t xml:space="preserve">☐ </w:t>
      </w:r>
      <w:r>
        <w:rPr>
          <w:b/>
        </w:rPr>
        <w:t>B.720.10d</w:t>
      </w:r>
      <w:r>
        <w:rPr>
          <w:b w:val="0"/>
        </w:rPr>
        <w:t xml:space="preserve"> — §720.303(4)(a)10.d: Other records identifying, measuring, recording, or communicating financial information.</w:t>
      </w:r>
    </w:p>
    <w:p>
      <w:pPr>
        <w:keepLines/>
        <w:ind w:left="216" w:hanging="216"/>
      </w:pPr>
      <w:r>
        <w:rPr>
          <w:b w:val="0"/>
        </w:rPr>
        <w:t xml:space="preserve">☐ </w:t>
      </w:r>
      <w:r>
        <w:rPr>
          <w:b/>
        </w:rPr>
        <w:t>B.720.11</w:t>
      </w:r>
      <w:r>
        <w:rPr>
          <w:b w:val="0"/>
        </w:rPr>
        <w:t xml:space="preserve"> — §720.303(4)(a)11: Disclosure summary required by §720.401(1).</w:t>
      </w:r>
    </w:p>
    <w:p>
      <w:pPr>
        <w:keepLines/>
        <w:ind w:left="216" w:hanging="216"/>
      </w:pPr>
      <w:r>
        <w:rPr>
          <w:b w:val="0"/>
        </w:rPr>
        <w:t xml:space="preserve">☐ </w:t>
      </w:r>
      <w:r>
        <w:rPr>
          <w:b/>
        </w:rPr>
        <w:t>B.720.12</w:t>
      </w:r>
      <w:r>
        <w:rPr>
          <w:b w:val="0"/>
        </w:rPr>
        <w:t xml:space="preserve"> — §720.303(4)(a)12: Ballots, sign-in sheets, proxies, and other paper or electronic voting records.</w:t>
      </w:r>
    </w:p>
    <w:p>
      <w:pPr>
        <w:keepLines/>
        <w:ind w:left="216" w:hanging="216"/>
      </w:pPr>
      <w:r>
        <w:rPr>
          <w:b w:val="0"/>
        </w:rPr>
        <w:t xml:space="preserve">☐ </w:t>
      </w:r>
      <w:r>
        <w:rPr>
          <w:b/>
        </w:rPr>
        <w:t>B.720.13</w:t>
      </w:r>
      <w:r>
        <w:rPr>
          <w:b w:val="0"/>
        </w:rPr>
        <w:t xml:space="preserve"> — §720.303(4)(a)13: Affirmative acknowledgments required by §720.3085(3)(c)3.</w:t>
      </w:r>
    </w:p>
    <w:p>
      <w:pPr>
        <w:keepLines/>
        <w:ind w:left="216" w:hanging="216"/>
      </w:pPr>
      <w:r>
        <w:rPr>
          <w:b w:val="0"/>
        </w:rPr>
        <w:t xml:space="preserve">☐ </w:t>
      </w:r>
      <w:r>
        <w:rPr>
          <w:b/>
        </w:rPr>
        <w:t>B.720.14</w:t>
      </w:r>
      <w:r>
        <w:rPr>
          <w:b w:val="0"/>
        </w:rPr>
        <w:t xml:space="preserve"> — §720.303(4)(a)14: Other written records concerning Association operations.</w:t>
      </w:r>
    </w:p>
    <w:p>
      <w:pPr>
        <w:keepLines/>
        <w:ind w:left="216" w:hanging="216"/>
      </w:pPr>
      <w:r>
        <w:rPr>
          <w:b w:val="0"/>
        </w:rPr>
        <w:t xml:space="preserve">☐ </w:t>
      </w:r>
      <w:r>
        <w:rPr>
          <w:b/>
        </w:rPr>
        <w:t>B.720.15</w:t>
      </w:r>
      <w:r>
        <w:rPr>
          <w:b w:val="0"/>
        </w:rPr>
        <w:t xml:space="preserve"> — §720.303(4)(c): Adopted written records-retention rules addressing retention methods and periods.</w:t>
      </w:r>
    </w:p>
    <w:p>
      <w:pPr>
        <w:widowControl/>
      </w:pPr>
      <w:r>
        <w:rPr>
          <w:b/>
        </w:rPr>
        <w:t>Retention.</w:t>
      </w:r>
      <w:r>
        <w:rPr>
          <w:b w:val="0"/>
        </w:rPr>
        <w:t xml:space="preserve"> Section 720.303(4)(a) generally requires at least seven years, or longer when governing documents require. Work bids and voting records have specific one-year retention provisions. Identify applicable longer requirements.</w:t>
      </w:r>
    </w:p>
    <w:p>
      <w:pPr>
        <w:pStyle w:val="Heading1"/>
      </w:pPr>
      <w:r>
        <w:t>B T Additional Board directed transition items</w:t>
      </w:r>
    </w:p>
    <w:p>
      <w:pPr>
        <w:widowControl/>
      </w:pPr>
      <w:r>
        <w:rPr>
          <w:b w:val="0"/>
        </w:rPr>
        <w:t>These are Board-requested deliverables; the item numbers are tracking references, not separate statutory subsections. B.T.02a–j require all applicable Association-owned or controlled usernames, passwords, account numbers, administrative credentials, recovery information, and physical access items.</w:t>
      </w:r>
    </w:p>
    <w:p>
      <w:pPr>
        <w:keepLines/>
        <w:ind w:left="216" w:hanging="216"/>
      </w:pPr>
      <w:r>
        <w:rPr>
          <w:b w:val="0"/>
        </w:rPr>
        <w:t xml:space="preserve">☐ </w:t>
      </w:r>
      <w:r>
        <w:rPr>
          <w:b/>
        </w:rPr>
        <w:t>B.T.01</w:t>
      </w:r>
      <w:r>
        <w:rPr>
          <w:b w:val="0"/>
        </w:rPr>
        <w:t xml:space="preserve"> — Completed delivery inventory and explanation of every incomplete or missing item.</w:t>
      </w:r>
    </w:p>
    <w:p>
      <w:pPr>
        <w:keepLines/>
        <w:ind w:left="216" w:hanging="216"/>
      </w:pPr>
      <w:r>
        <w:rPr>
          <w:b w:val="0"/>
        </w:rPr>
        <w:t xml:space="preserve">☐ </w:t>
      </w:r>
      <w:r>
        <w:rPr>
          <w:b/>
        </w:rPr>
        <w:t>B.T.02a</w:t>
      </w:r>
      <w:r>
        <w:rPr>
          <w:b w:val="0"/>
        </w:rPr>
        <w:t xml:space="preserve"> — Vendor accounts: usernames, passwords, account numbers, and administrative access for utilities, payment accounts, subscriptions, maintenance, and other service-provider portals.</w:t>
      </w:r>
    </w:p>
    <w:p>
      <w:pPr>
        <w:keepLines/>
        <w:ind w:left="216" w:hanging="216"/>
      </w:pPr>
      <w:r>
        <w:rPr>
          <w:b w:val="0"/>
        </w:rPr>
        <w:t xml:space="preserve">☐ </w:t>
      </w:r>
      <w:r>
        <w:rPr>
          <w:b/>
        </w:rPr>
        <w:t>B.T.02b</w:t>
      </w:r>
      <w:r>
        <w:rPr>
          <w:b w:val="0"/>
        </w:rPr>
        <w:t xml:space="preserve"> — Fire systems: alarm and monitoring accounts, administrative access codes, monitoring-provider details, and authorized-contact information.</w:t>
      </w:r>
    </w:p>
    <w:p>
      <w:pPr>
        <w:keepLines/>
        <w:ind w:left="216" w:hanging="216"/>
      </w:pPr>
      <w:r>
        <w:rPr>
          <w:b w:val="0"/>
        </w:rPr>
        <w:t xml:space="preserve">☐ </w:t>
      </w:r>
      <w:r>
        <w:rPr>
          <w:b/>
        </w:rPr>
        <w:t>B.T.02c</w:t>
      </w:r>
      <w:r>
        <w:rPr>
          <w:b w:val="0"/>
        </w:rPr>
        <w:t xml:space="preserve"> — Security systems: alarm, gate, door-entry, and access-control accounts, administrator codes, master credentials, and access-device inventories.</w:t>
      </w:r>
    </w:p>
    <w:p>
      <w:pPr>
        <w:keepLines/>
        <w:ind w:left="216" w:hanging="216"/>
      </w:pPr>
      <w:r>
        <w:rPr>
          <w:b w:val="0"/>
        </w:rPr>
        <w:t xml:space="preserve">☐ </w:t>
      </w:r>
      <w:r>
        <w:rPr>
          <w:b/>
        </w:rPr>
        <w:t>B.T.02d</w:t>
      </w:r>
      <w:r>
        <w:rPr>
          <w:b w:val="0"/>
        </w:rPr>
        <w:t xml:space="preserve"> — Camera systems: camera administration, recording equipment, cloud storage, monitoring applications, and remote-access accounts.</w:t>
      </w:r>
    </w:p>
    <w:p>
      <w:pPr>
        <w:keepLines/>
        <w:ind w:left="216" w:hanging="216"/>
      </w:pPr>
      <w:r>
        <w:rPr>
          <w:b w:val="0"/>
        </w:rPr>
        <w:t xml:space="preserve">☐ </w:t>
      </w:r>
      <w:r>
        <w:rPr>
          <w:b/>
        </w:rPr>
        <w:t>B.T.02e</w:t>
      </w:r>
      <w:r>
        <w:rPr>
          <w:b w:val="0"/>
        </w:rPr>
        <w:t xml:space="preserve"> — Website and domain: website administration, hosting, domain registration, DNS management, and renewal/billing accounts.</w:t>
      </w:r>
    </w:p>
    <w:p>
      <w:pPr>
        <w:keepLines/>
        <w:ind w:left="216" w:hanging="216"/>
      </w:pPr>
      <w:r>
        <w:rPr>
          <w:b w:val="0"/>
        </w:rPr>
        <w:t xml:space="preserve">☐ </w:t>
      </w:r>
      <w:r>
        <w:rPr>
          <w:b/>
        </w:rPr>
        <w:t>B.T.02f</w:t>
      </w:r>
      <w:r>
        <w:rPr>
          <w:b w:val="0"/>
        </w:rPr>
        <w:t xml:space="preserve"> — Email accounts: Association mailboxes, shared addresses, email-platform administration, and account-recovery settings.</w:t>
      </w:r>
    </w:p>
    <w:p>
      <w:pPr>
        <w:keepLines/>
        <w:ind w:left="216" w:hanging="216"/>
      </w:pPr>
      <w:r>
        <w:rPr>
          <w:b w:val="0"/>
        </w:rPr>
        <w:t xml:space="preserve">☐ </w:t>
      </w:r>
      <w:r>
        <w:rPr>
          <w:b/>
        </w:rPr>
        <w:t>B.T.02g</w:t>
      </w:r>
      <w:r>
        <w:rPr>
          <w:b w:val="0"/>
        </w:rPr>
        <w:t xml:space="preserve"> — Internet and network equipment: internet-provider accounts, modem/router administration, Wi-Fi network names and passwords, firewalls, switches, and network-management accounts.</w:t>
      </w:r>
    </w:p>
    <w:p>
      <w:pPr>
        <w:keepLines/>
        <w:ind w:left="216" w:hanging="216"/>
      </w:pPr>
      <w:r>
        <w:rPr>
          <w:b w:val="0"/>
        </w:rPr>
        <w:t xml:space="preserve">☐ </w:t>
      </w:r>
      <w:r>
        <w:rPr>
          <w:b/>
        </w:rPr>
        <w:t>B.T.02h</w:t>
      </w:r>
      <w:r>
        <w:rPr>
          <w:b w:val="0"/>
        </w:rPr>
        <w:t xml:space="preserve"> — Banking and financial systems: transfer of authorized access to bank accounts, accounting software, payment processors, and owner-payment portals.</w:t>
      </w:r>
    </w:p>
    <w:p>
      <w:pPr>
        <w:keepLines/>
        <w:ind w:left="216" w:hanging="216"/>
      </w:pPr>
      <w:r>
        <w:rPr>
          <w:b w:val="0"/>
        </w:rPr>
        <w:t xml:space="preserve">☐ </w:t>
      </w:r>
      <w:r>
        <w:rPr>
          <w:b/>
        </w:rPr>
        <w:t>B.T.02i</w:t>
      </w:r>
      <w:r>
        <w:rPr>
          <w:b w:val="0"/>
        </w:rPr>
        <w:t xml:space="preserve"> — Other Association systems: owner portals, document storage, software subscriptions, and any other operating account.</w:t>
      </w:r>
    </w:p>
    <w:p>
      <w:pPr>
        <w:keepLines/>
        <w:ind w:left="216" w:hanging="216"/>
      </w:pPr>
      <w:r>
        <w:rPr>
          <w:b w:val="0"/>
        </w:rPr>
        <w:t xml:space="preserve">☐ </w:t>
      </w:r>
      <w:r>
        <w:rPr>
          <w:b/>
        </w:rPr>
        <w:t>B.T.02j</w:t>
      </w:r>
      <w:r>
        <w:rPr>
          <w:b w:val="0"/>
        </w:rPr>
        <w:t xml:space="preserve"> — Physical access: keys, fobs, remotes, access cards, and combinations, labeled by property, equipment, or location.</w:t>
      </w:r>
    </w:p>
    <w:p>
      <w:pPr>
        <w:keepLines/>
        <w:ind w:left="216" w:hanging="216"/>
      </w:pPr>
      <w:r>
        <w:rPr>
          <w:b w:val="0"/>
        </w:rPr>
        <w:t xml:space="preserve">☐ </w:t>
      </w:r>
      <w:r>
        <w:rPr>
          <w:b/>
        </w:rPr>
        <w:t>B.T.03</w:t>
      </w:r>
      <w:r>
        <w:rPr>
          <w:b w:val="0"/>
        </w:rPr>
        <w:t xml:space="preserve"> — Open-matter list: unpaid bills, outstanding checks, pending deposits, collections, claims, violations, architectural applications, projects, and contractual deadlines.</w:t>
      </w:r>
    </w:p>
    <w:p>
      <w:pPr>
        <w:keepLines/>
        <w:ind w:left="216" w:hanging="216"/>
      </w:pPr>
      <w:r>
        <w:rPr>
          <w:b w:val="0"/>
        </w:rPr>
        <w:t xml:space="preserve">☐ </w:t>
      </w:r>
      <w:r>
        <w:rPr>
          <w:b/>
        </w:rPr>
        <w:t>B.T.04</w:t>
      </w:r>
      <w:r>
        <w:rPr>
          <w:b w:val="0"/>
        </w:rPr>
        <w:t xml:space="preserve"> — Final accounting, bank statements, reconciliations, account-closure confirmations, and documentation of the $5,000 transfer and remaining funds remitted.</w:t>
      </w:r>
    </w:p>
    <w:p>
      <w:pPr>
        <w:widowControl/>
      </w:pPr>
      <w:r>
        <w:rPr>
          <w:b w:val="0"/>
        </w:rPr>
        <w:t>For each system, identify the service, login address, username, account owner, administrator, recovery email/phone, multifactor-authentication method, subscription renewal date, and missing access. Coordinate recovery and multifactor-authentication transfer to the designated representative.</w:t>
      </w:r>
    </w:p>
    <w:p>
      <w:pPr>
        <w:widowControl/>
      </w:pPr>
      <w:r>
        <w:rPr>
          <w:b w:val="0"/>
        </w:rPr>
        <w:t>Deliver passwords and access/recovery codes through Casey’s secure transfer process, separately from this inventory. Where a personal or management-company account is used, establish Association-controlled access or transfer the service without sharing personal credentials. Confirm the designated representative can sign in and administer the system before removing outgoing access.</w:t>
      </w:r>
    </w:p>
    <w:p>
      <w:pPr>
        <w:widowControl/>
      </w:pPr>
      <w:r>
        <w:rPr>
          <w:b w:val="0"/>
        </w:rPr>
        <w:t>Transfer confidential and privileged records through a restricted channel to the Board or its authorized recipient. This handoff does not authorize public posting or unrestricted owner access.</w:t>
      </w:r>
    </w:p>
    <w:p>
      <w:pPr>
        <w:widowControl/>
      </w:pPr>
      <w:r>
        <w:rPr>
          <w:b w:val="0"/>
        </w:rPr>
        <w:t>Prepared by: ____________________ Date: __________</w:t>
      </w:r>
      <w:r>
        <w:br/>
      </w:r>
      <w:r>
        <w:rPr>
          <w:b w:val="0"/>
        </w:rPr>
        <w:t>Outstanding item numbers: ____________________________________</w:t>
      </w:r>
    </w:p>
    <w:p>
      <w:pPr>
        <w:widowControl/>
      </w:pPr>
      <w:r>
        <w:rPr>
          <w:b w:val="0"/>
        </w:rPr>
        <w:t>Acknowledgment confirms receipt only, not completeness, accuracy, or waiver of missing-record claims.</w:t>
      </w:r>
    </w:p>
    <w:p>
      <w:pPr>
        <w:widowControl/>
      </w:pPr>
      <w:r>
        <w:rPr>
          <w:b w:val="0"/>
        </w:rPr>
        <w:t xml:space="preserve">Statutory source: </w:t>
      </w:r>
      <w:r>
        <w:rPr>
          <w:i/>
        </w:rPr>
        <w:t>§720.303(4)–(5), Florida Statutes</w:t>
      </w:r>
      <w:r>
        <w:rPr>
          <w:b w:val="0"/>
        </w:rPr>
        <w: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management transition notice and checklists</dc:title>
  <dc:subject/>
  <dc:creator>myHomeSpot.com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