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A428B" w14:textId="77777777" w:rsidR="006603B8" w:rsidRDefault="00616B76">
      <w:r>
        <w:rPr>
          <w:noProof/>
        </w:rPr>
        <w:drawing>
          <wp:inline distT="0" distB="0" distL="0" distR="0" wp14:anchorId="3969B643" wp14:editId="2781F1B2">
            <wp:extent cx="1234440" cy="411480"/>
            <wp:effectExtent l="0" t="0" r="0" b="0"/>
            <wp:docPr id="1" name="Picture 1" descr="myHomeSpot cyan roo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HS Logo 334x139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7B646" w14:textId="77777777" w:rsidR="006603B8" w:rsidRDefault="00616B76">
      <w:r>
        <w:rPr>
          <w:b/>
        </w:rPr>
        <w:t>H01  |  FLORIDA HOA  |  CHAPTER 720</w:t>
      </w:r>
    </w:p>
    <w:p w14:paraId="02F864DD" w14:textId="77777777" w:rsidR="006603B8" w:rsidRDefault="00616B76">
      <w:pPr>
        <w:pStyle w:val="Title"/>
      </w:pPr>
      <w:r>
        <w:t>Committee Member Hearing Overview</w:t>
      </w:r>
    </w:p>
    <w:p w14:paraId="0E422610" w14:textId="77777777" w:rsidR="006603B8" w:rsidRDefault="00616B76">
      <w:r>
        <w:t xml:space="preserve">At myHomeSpot.com, we support you with the notices, evidence and records you need. As a committee member, you make the independent decision: hear the owner, assess the evidence and cure status, and confirm or reject the Board’s proposal. Do not change the </w:t>
      </w:r>
      <w:r>
        <w:t>amount or decide a new allegation.</w:t>
      </w:r>
    </w:p>
    <w:p w14:paraId="1ABAFB00" w14:textId="77777777" w:rsidR="006603B8" w:rsidRDefault="00616B76">
      <w:pPr>
        <w:pStyle w:val="Heading2"/>
      </w:pPr>
      <w:r>
        <w:t>Process flowchart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6603B8" w14:paraId="1F550985" w14:textId="77777777">
        <w:trPr>
          <w:cantSplit/>
        </w:trPr>
        <w:tc>
          <w:tcPr>
            <w:tcW w:w="10800" w:type="dxa"/>
            <w:gridSpan w:val="3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E5EEF4"/>
            <w:vAlign w:val="center"/>
          </w:tcPr>
          <w:p w14:paraId="123BE88C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>Board levies a proposed fine</w:t>
            </w:r>
            <w:r>
              <w:rPr>
                <w:b/>
              </w:rPr>
              <w:br/>
              <w:t>A proposal is not a final amount owed.</w:t>
            </w:r>
          </w:p>
        </w:tc>
      </w:tr>
      <w:tr w:rsidR="006603B8" w14:paraId="67FB5868" w14:textId="77777777">
        <w:trPr>
          <w:cantSplit/>
        </w:trPr>
        <w:tc>
          <w:tcPr>
            <w:tcW w:w="10800" w:type="dxa"/>
            <w:gridSpan w:val="3"/>
            <w:vAlign w:val="center"/>
          </w:tcPr>
          <w:p w14:paraId="1C5AF1CF" w14:textId="77777777" w:rsidR="006603B8" w:rsidRDefault="00616B76">
            <w:pPr>
              <w:spacing w:before="80" w:after="80" w:line="240" w:lineRule="auto"/>
              <w:jc w:val="center"/>
            </w:pPr>
            <w:r>
              <w:t>↓</w:t>
            </w:r>
          </w:p>
        </w:tc>
      </w:tr>
      <w:tr w:rsidR="006603B8" w14:paraId="0A656360" w14:textId="77777777">
        <w:trPr>
          <w:cantSplit/>
        </w:trPr>
        <w:tc>
          <w:tcPr>
            <w:tcW w:w="10800" w:type="dxa"/>
            <w:gridSpan w:val="3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E5EEF4"/>
            <w:vAlign w:val="center"/>
          </w:tcPr>
          <w:p w14:paraId="307B6F30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>Written hearing notice</w:t>
            </w:r>
            <w:r>
              <w:rPr>
                <w:b/>
              </w:rPr>
              <w:br/>
              <w:t>Allegation • action to cure • hearing and remote access details</w:t>
            </w:r>
          </w:p>
        </w:tc>
      </w:tr>
      <w:tr w:rsidR="006603B8" w14:paraId="5AB31E2F" w14:textId="77777777">
        <w:trPr>
          <w:cantSplit/>
        </w:trPr>
        <w:tc>
          <w:tcPr>
            <w:tcW w:w="10800" w:type="dxa"/>
            <w:gridSpan w:val="3"/>
            <w:vAlign w:val="center"/>
          </w:tcPr>
          <w:p w14:paraId="6EA212AB" w14:textId="77777777" w:rsidR="006603B8" w:rsidRDefault="00616B76">
            <w:pPr>
              <w:spacing w:before="80" w:after="80" w:line="240" w:lineRule="auto"/>
              <w:jc w:val="center"/>
            </w:pPr>
            <w:r>
              <w:t>↓</w:t>
            </w:r>
          </w:p>
        </w:tc>
      </w:tr>
      <w:tr w:rsidR="006603B8" w14:paraId="3D20ECA0" w14:textId="77777777">
        <w:trPr>
          <w:cantSplit/>
        </w:trPr>
        <w:tc>
          <w:tcPr>
            <w:tcW w:w="10800" w:type="dxa"/>
            <w:gridSpan w:val="3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E5EEF4"/>
            <w:vAlign w:val="center"/>
          </w:tcPr>
          <w:p w14:paraId="2499D8DA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>Conduct the hearing fairly</w:t>
            </w:r>
            <w:r>
              <w:rPr>
                <w:b/>
              </w:rPr>
              <w:br/>
              <w:t xml:space="preserve">Review </w:t>
            </w:r>
            <w:r>
              <w:rPr>
                <w:b/>
              </w:rPr>
              <w:t>notice, Board action, evidence, owner response and cure status.</w:t>
            </w:r>
          </w:p>
        </w:tc>
      </w:tr>
      <w:tr w:rsidR="006603B8" w14:paraId="500547E2" w14:textId="77777777">
        <w:trPr>
          <w:cantSplit/>
        </w:trPr>
        <w:tc>
          <w:tcPr>
            <w:tcW w:w="10800" w:type="dxa"/>
            <w:gridSpan w:val="3"/>
            <w:vAlign w:val="center"/>
          </w:tcPr>
          <w:p w14:paraId="33229044" w14:textId="77777777" w:rsidR="006603B8" w:rsidRDefault="00616B76">
            <w:pPr>
              <w:spacing w:before="80" w:after="80" w:line="240" w:lineRule="auto"/>
              <w:jc w:val="center"/>
            </w:pPr>
            <w:r>
              <w:t>↓</w:t>
            </w:r>
          </w:p>
        </w:tc>
      </w:tr>
      <w:tr w:rsidR="006603B8" w14:paraId="488FAC4C" w14:textId="77777777">
        <w:trPr>
          <w:cantSplit/>
        </w:trPr>
        <w:tc>
          <w:tcPr>
            <w:tcW w:w="3600" w:type="dxa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DBE8F0"/>
            <w:vAlign w:val="center"/>
          </w:tcPr>
          <w:p w14:paraId="75A3985E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>Cure bars the fine</w:t>
            </w:r>
          </w:p>
        </w:tc>
        <w:tc>
          <w:tcPr>
            <w:tcW w:w="3600" w:type="dxa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DBE8F0"/>
            <w:vAlign w:val="center"/>
          </w:tcPr>
          <w:p w14:paraId="2019443D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>Approval not obtained</w:t>
            </w:r>
          </w:p>
        </w:tc>
        <w:tc>
          <w:tcPr>
            <w:tcW w:w="3600" w:type="dxa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DBE8F0"/>
            <w:vAlign w:val="center"/>
          </w:tcPr>
          <w:p w14:paraId="045B95D5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>Approved and uncured</w:t>
            </w:r>
          </w:p>
        </w:tc>
      </w:tr>
      <w:tr w:rsidR="006603B8" w14:paraId="62C57A42" w14:textId="77777777">
        <w:trPr>
          <w:cantSplit/>
        </w:trPr>
        <w:tc>
          <w:tcPr>
            <w:tcW w:w="3600" w:type="dxa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F4F7F9"/>
            <w:vAlign w:val="center"/>
          </w:tcPr>
          <w:p w14:paraId="4AD1C7FC" w14:textId="77777777" w:rsidR="006603B8" w:rsidRDefault="00616B76">
            <w:pPr>
              <w:spacing w:before="80" w:after="80" w:line="240" w:lineRule="auto"/>
              <w:jc w:val="center"/>
            </w:pPr>
            <w:r>
              <w:t>Cured before the hearing or in the manner specified in the required notice.</w:t>
            </w:r>
          </w:p>
        </w:tc>
        <w:tc>
          <w:tcPr>
            <w:tcW w:w="3600" w:type="dxa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F4F7F9"/>
            <w:vAlign w:val="center"/>
          </w:tcPr>
          <w:p w14:paraId="6CF1E95C" w14:textId="77777777" w:rsidR="006603B8" w:rsidRDefault="00616B76">
            <w:pPr>
              <w:spacing w:before="80" w:after="80" w:line="240" w:lineRule="auto"/>
              <w:jc w:val="center"/>
            </w:pPr>
            <w:r>
              <w:t xml:space="preserve">Committee rejects the proposal or it fails to </w:t>
            </w:r>
            <w:r>
              <w:t>receive required majority approval.</w:t>
            </w:r>
          </w:p>
        </w:tc>
        <w:tc>
          <w:tcPr>
            <w:tcW w:w="3600" w:type="dxa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F4F7F9"/>
            <w:vAlign w:val="center"/>
          </w:tcPr>
          <w:p w14:paraId="17924DF5" w14:textId="77777777" w:rsidR="006603B8" w:rsidRDefault="00616B76">
            <w:pPr>
              <w:spacing w:before="80" w:after="80" w:line="240" w:lineRule="auto"/>
              <w:jc w:val="center"/>
            </w:pPr>
            <w:r>
              <w:t>Committee confirms the Board’s proposal by the required majority.</w:t>
            </w:r>
          </w:p>
        </w:tc>
      </w:tr>
      <w:tr w:rsidR="006603B8" w14:paraId="4260C34A" w14:textId="77777777">
        <w:trPr>
          <w:cantSplit/>
        </w:trPr>
        <w:tc>
          <w:tcPr>
            <w:tcW w:w="3600" w:type="dxa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F4F7F9"/>
            <w:vAlign w:val="center"/>
          </w:tcPr>
          <w:p w14:paraId="4CF0100A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>NO FINE MAY BE IMPOSED</w:t>
            </w:r>
          </w:p>
        </w:tc>
        <w:tc>
          <w:tcPr>
            <w:tcW w:w="3600" w:type="dxa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F4F7F9"/>
            <w:vAlign w:val="center"/>
          </w:tcPr>
          <w:p w14:paraId="30A43636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>NO FINE MAY BE IMPOSED</w:t>
            </w:r>
          </w:p>
        </w:tc>
        <w:tc>
          <w:tcPr>
            <w:tcW w:w="3600" w:type="dxa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F4F7F9"/>
            <w:vAlign w:val="center"/>
          </w:tcPr>
          <w:p w14:paraId="26C082A5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>PAYMENT ONLY IF LAWFULLY IMPOSABLE</w:t>
            </w:r>
            <w:r>
              <w:rPr>
                <w:b/>
              </w:rPr>
              <w:br/>
              <w:t>Qualifying cure still bars imposition.</w:t>
            </w:r>
          </w:p>
        </w:tc>
      </w:tr>
      <w:tr w:rsidR="006603B8" w14:paraId="0131FF53" w14:textId="77777777">
        <w:trPr>
          <w:cantSplit/>
        </w:trPr>
        <w:tc>
          <w:tcPr>
            <w:tcW w:w="3600" w:type="dxa"/>
            <w:vAlign w:val="center"/>
          </w:tcPr>
          <w:p w14:paraId="1530D570" w14:textId="77777777" w:rsidR="006603B8" w:rsidRDefault="00616B76">
            <w:pPr>
              <w:spacing w:before="80" w:after="80" w:line="240" w:lineRule="auto"/>
              <w:jc w:val="center"/>
            </w:pPr>
            <w:r>
              <w:t>↓</w:t>
            </w:r>
          </w:p>
        </w:tc>
        <w:tc>
          <w:tcPr>
            <w:tcW w:w="3600" w:type="dxa"/>
            <w:vAlign w:val="center"/>
          </w:tcPr>
          <w:p w14:paraId="0D78DE37" w14:textId="77777777" w:rsidR="006603B8" w:rsidRDefault="00616B76">
            <w:pPr>
              <w:spacing w:before="80" w:after="80" w:line="240" w:lineRule="auto"/>
              <w:jc w:val="center"/>
            </w:pPr>
            <w:r>
              <w:t>↓</w:t>
            </w:r>
          </w:p>
        </w:tc>
        <w:tc>
          <w:tcPr>
            <w:tcW w:w="3600" w:type="dxa"/>
            <w:vAlign w:val="center"/>
          </w:tcPr>
          <w:p w14:paraId="70F1A41E" w14:textId="77777777" w:rsidR="006603B8" w:rsidRDefault="00616B76">
            <w:pPr>
              <w:spacing w:before="80" w:after="80" w:line="240" w:lineRule="auto"/>
              <w:jc w:val="center"/>
            </w:pPr>
            <w:r>
              <w:t>↓</w:t>
            </w:r>
          </w:p>
        </w:tc>
      </w:tr>
      <w:tr w:rsidR="006603B8" w14:paraId="480B6B06" w14:textId="77777777">
        <w:trPr>
          <w:cantSplit/>
        </w:trPr>
        <w:tc>
          <w:tcPr>
            <w:tcW w:w="10800" w:type="dxa"/>
            <w:gridSpan w:val="3"/>
            <w:tcBorders>
              <w:top w:val="single" w:sz="7" w:space="0" w:color="8DABBE"/>
              <w:left w:val="single" w:sz="7" w:space="0" w:color="8DABBE"/>
              <w:bottom w:val="single" w:sz="7" w:space="0" w:color="8DABBE"/>
              <w:right w:val="single" w:sz="7" w:space="0" w:color="8DABBE"/>
            </w:tcBorders>
            <w:shd w:val="clear" w:color="auto" w:fill="E5EEF4"/>
            <w:vAlign w:val="center"/>
          </w:tcPr>
          <w:p w14:paraId="761CC055" w14:textId="77777777" w:rsidR="006603B8" w:rsidRDefault="00616B76">
            <w:pPr>
              <w:spacing w:before="80" w:after="80" w:line="240" w:lineRule="auto"/>
              <w:jc w:val="center"/>
            </w:pPr>
            <w:r>
              <w:rPr>
                <w:b/>
              </w:rPr>
              <w:t xml:space="preserve">Written findings for </w:t>
            </w:r>
            <w:r>
              <w:rPr>
                <w:b/>
              </w:rPr>
              <w:t>the hearing outcome</w:t>
            </w:r>
            <w:r>
              <w:rPr>
                <w:b/>
              </w:rPr>
              <w:br/>
              <w:t>Provide within 7 days after the hearing, including applicable cure instructions or payment date.</w:t>
            </w:r>
          </w:p>
        </w:tc>
      </w:tr>
    </w:tbl>
    <w:p w14:paraId="7915AB01" w14:textId="77777777" w:rsidR="006603B8" w:rsidRDefault="006603B8"/>
    <w:p w14:paraId="4F4E3FCC" w14:textId="77777777" w:rsidR="006603B8" w:rsidRDefault="00616B76">
      <w:pPr>
        <w:pStyle w:val="Heading2"/>
      </w:pPr>
      <w:r>
        <w:t>Before you participate</w:t>
      </w:r>
    </w:p>
    <w:p w14:paraId="07F24776" w14:textId="77777777" w:rsidR="006603B8" w:rsidRDefault="00616B76">
      <w:r>
        <w:t>Before you participate, verify the roster with us. Your committee needs at least three eligible Board-appointed members. Officers, directors, association employees and their spouses, parents, children, brothers or sisters are ineligible. Establish the appl</w:t>
      </w:r>
      <w:r>
        <w:t>icable quorum and approval rules before business.</w:t>
      </w:r>
    </w:p>
    <w:p w14:paraId="74AC1EE1" w14:textId="77777777" w:rsidR="006603B8" w:rsidRDefault="00616B76">
      <w:r>
        <w:t>Tell us if you find a notice, access, eligibility or quorum defect. Stop the decision process until the proper correction is made. Do not record an approval that did not occur.</w:t>
      </w:r>
    </w:p>
    <w:p w14:paraId="0A29939B" w14:textId="77777777" w:rsidR="006603B8" w:rsidRDefault="00616B76">
      <w:r>
        <w:br w:type="page"/>
      </w:r>
    </w:p>
    <w:p w14:paraId="78104A24" w14:textId="77777777" w:rsidR="006603B8" w:rsidRDefault="00616B76">
      <w:r>
        <w:rPr>
          <w:b/>
        </w:rPr>
        <w:lastRenderedPageBreak/>
        <w:t>H01  |  PAGE 2</w:t>
      </w:r>
    </w:p>
    <w:p w14:paraId="23F9470F" w14:textId="77777777" w:rsidR="006603B8" w:rsidRDefault="00616B76">
      <w:pPr>
        <w:pStyle w:val="Title"/>
      </w:pPr>
      <w:r>
        <w:t>Committee ti</w:t>
      </w:r>
      <w:r>
        <w:t>meline and quick checklist</w:t>
      </w:r>
    </w:p>
    <w:p w14:paraId="2D27C738" w14:textId="77777777" w:rsidR="006603B8" w:rsidRDefault="00616B76">
      <w:r>
        <w:rPr>
          <w:b/>
        </w:rPr>
        <w:t>Timeline from notice to decision</w:t>
      </w:r>
    </w:p>
    <w:p w14:paraId="6A126EBB" w14:textId="77777777" w:rsidR="006603B8" w:rsidRDefault="00616B76">
      <w:r>
        <w:t>We use the separate timing rules below to track your case. They do not create a fixed total schedule. The payment clock starts when the written findings are delivered, not on the hearing date.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1656"/>
        <w:gridCol w:w="3672"/>
        <w:gridCol w:w="5472"/>
      </w:tblGrid>
      <w:tr w:rsidR="006603B8" w14:paraId="303F3DD1" w14:textId="77777777">
        <w:trPr>
          <w:cantSplit/>
          <w:tblHeader/>
        </w:trPr>
        <w:tc>
          <w:tcPr>
            <w:tcW w:w="1656" w:type="dxa"/>
            <w:shd w:val="clear" w:color="auto" w:fill="DBE8F0"/>
            <w:vAlign w:val="center"/>
          </w:tcPr>
          <w:p w14:paraId="602EEF65" w14:textId="77777777" w:rsidR="006603B8" w:rsidRDefault="00616B76">
            <w:pPr>
              <w:spacing w:before="40" w:after="40" w:line="240" w:lineRule="auto"/>
            </w:pPr>
            <w:r>
              <w:rPr>
                <w:b/>
                <w:sz w:val="20"/>
              </w:rPr>
              <w:t>Sta</w:t>
            </w:r>
            <w:r>
              <w:rPr>
                <w:b/>
                <w:sz w:val="20"/>
              </w:rPr>
              <w:t>ge</w:t>
            </w:r>
          </w:p>
        </w:tc>
        <w:tc>
          <w:tcPr>
            <w:tcW w:w="3672" w:type="dxa"/>
            <w:shd w:val="clear" w:color="auto" w:fill="DBE8F0"/>
            <w:vAlign w:val="center"/>
          </w:tcPr>
          <w:p w14:paraId="03A2F260" w14:textId="77777777" w:rsidR="006603B8" w:rsidRDefault="00616B76">
            <w:pPr>
              <w:spacing w:before="40" w:after="40" w:line="240" w:lineRule="auto"/>
            </w:pPr>
            <w:r>
              <w:rPr>
                <w:b/>
                <w:sz w:val="20"/>
              </w:rPr>
              <w:t>Required timing</w:t>
            </w:r>
          </w:p>
        </w:tc>
        <w:tc>
          <w:tcPr>
            <w:tcW w:w="5472" w:type="dxa"/>
            <w:shd w:val="clear" w:color="auto" w:fill="DBE8F0"/>
            <w:vAlign w:val="center"/>
          </w:tcPr>
          <w:p w14:paraId="1D3909F2" w14:textId="77777777" w:rsidR="006603B8" w:rsidRDefault="00616B76">
            <w:pPr>
              <w:spacing w:before="40" w:after="40" w:line="240" w:lineRule="auto"/>
            </w:pPr>
            <w:r>
              <w:rPr>
                <w:b/>
                <w:sz w:val="20"/>
              </w:rPr>
              <w:t>Committee and management action</w:t>
            </w:r>
          </w:p>
        </w:tc>
      </w:tr>
      <w:tr w:rsidR="006603B8" w14:paraId="11B0D45A" w14:textId="77777777">
        <w:trPr>
          <w:cantSplit/>
        </w:trPr>
        <w:tc>
          <w:tcPr>
            <w:tcW w:w="1656" w:type="dxa"/>
            <w:vAlign w:val="center"/>
          </w:tcPr>
          <w:p w14:paraId="0533378C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1  NOTICE</w:t>
            </w:r>
          </w:p>
        </w:tc>
        <w:tc>
          <w:tcPr>
            <w:tcW w:w="3672" w:type="dxa"/>
            <w:vAlign w:val="center"/>
          </w:tcPr>
          <w:p w14:paraId="18E6A751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At least 14 days’ written notice before the hearing.</w:t>
            </w:r>
          </w:p>
        </w:tc>
        <w:tc>
          <w:tcPr>
            <w:tcW w:w="5472" w:type="dxa"/>
            <w:vAlign w:val="center"/>
          </w:tcPr>
          <w:p w14:paraId="63AD7D67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Verify notice content, each required recipient, designated address and proof. Do not substitute a community posting.</w:t>
            </w:r>
          </w:p>
        </w:tc>
      </w:tr>
      <w:tr w:rsidR="006603B8" w14:paraId="0A6D2D8D" w14:textId="77777777">
        <w:trPr>
          <w:cantSplit/>
        </w:trPr>
        <w:tc>
          <w:tcPr>
            <w:tcW w:w="1656" w:type="dxa"/>
            <w:vAlign w:val="center"/>
          </w:tcPr>
          <w:p w14:paraId="47CF44CE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↓  2  HEARING</w:t>
            </w:r>
          </w:p>
        </w:tc>
        <w:tc>
          <w:tcPr>
            <w:tcW w:w="3672" w:type="dxa"/>
            <w:vAlign w:val="center"/>
          </w:tcPr>
          <w:p w14:paraId="758F70F1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 xml:space="preserve">Hold </w:t>
            </w:r>
            <w:r>
              <w:rPr>
                <w:sz w:val="20"/>
              </w:rPr>
              <w:t>within 90 days after notice issuance.</w:t>
            </w:r>
          </w:p>
        </w:tc>
        <w:tc>
          <w:tcPr>
            <w:tcW w:w="5472" w:type="dxa"/>
            <w:vAlign w:val="center"/>
          </w:tcPr>
          <w:p w14:paraId="1AECD327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Verify eligibility and quorum; hear the owner, assess cure and evidence, and record actual individual votes.</w:t>
            </w:r>
          </w:p>
        </w:tc>
      </w:tr>
      <w:tr w:rsidR="006603B8" w14:paraId="6F41D550" w14:textId="77777777">
        <w:trPr>
          <w:cantSplit/>
        </w:trPr>
        <w:tc>
          <w:tcPr>
            <w:tcW w:w="1656" w:type="dxa"/>
            <w:vAlign w:val="center"/>
          </w:tcPr>
          <w:p w14:paraId="19793E69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↓  3  FINDINGS</w:t>
            </w:r>
          </w:p>
        </w:tc>
        <w:tc>
          <w:tcPr>
            <w:tcW w:w="3672" w:type="dxa"/>
            <w:vAlign w:val="center"/>
          </w:tcPr>
          <w:p w14:paraId="5B5C00DC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Provide written findings within 7 days after the hearing.</w:t>
            </w:r>
          </w:p>
        </w:tc>
        <w:tc>
          <w:tcPr>
            <w:tcW w:w="5472" w:type="dxa"/>
            <w:vAlign w:val="center"/>
          </w:tcPr>
          <w:p w14:paraId="7399D308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Send the correct member letter with</w:t>
            </w:r>
            <w:r>
              <w:rPr>
                <w:sz w:val="20"/>
              </w:rPr>
              <w:t xml:space="preserve"> findings and any applicable cure instructions; record the delivery method.</w:t>
            </w:r>
          </w:p>
        </w:tc>
      </w:tr>
      <w:tr w:rsidR="006603B8" w14:paraId="2EB58609" w14:textId="77777777">
        <w:trPr>
          <w:cantSplit/>
        </w:trPr>
        <w:tc>
          <w:tcPr>
            <w:tcW w:w="1656" w:type="dxa"/>
            <w:vAlign w:val="center"/>
          </w:tcPr>
          <w:p w14:paraId="4BA13E32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↓  4  DELIVERY</w:t>
            </w:r>
          </w:p>
        </w:tc>
        <w:tc>
          <w:tcPr>
            <w:tcW w:w="3672" w:type="dxa"/>
            <w:vAlign w:val="center"/>
          </w:tcPr>
          <w:p w14:paraId="03DBDFCE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Record when the written findings are delivered.</w:t>
            </w:r>
          </w:p>
        </w:tc>
        <w:tc>
          <w:tcPr>
            <w:tcW w:w="5472" w:type="dxa"/>
            <w:vAlign w:val="center"/>
          </w:tcPr>
          <w:p w14:paraId="25259AEF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Verify actual delivery. Check whether it supports the committee-set payment date; correct conflicts through an autho</w:t>
            </w:r>
            <w:r>
              <w:rPr>
                <w:sz w:val="20"/>
              </w:rPr>
              <w:t>rized process.</w:t>
            </w:r>
          </w:p>
        </w:tc>
      </w:tr>
      <w:tr w:rsidR="006603B8" w14:paraId="5D238A0C" w14:textId="77777777">
        <w:trPr>
          <w:cantSplit/>
        </w:trPr>
        <w:tc>
          <w:tcPr>
            <w:tcW w:w="1656" w:type="dxa"/>
            <w:vAlign w:val="center"/>
          </w:tcPr>
          <w:p w14:paraId="04E3DE7D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↓  5  PAYMENT</w:t>
            </w:r>
          </w:p>
        </w:tc>
        <w:tc>
          <w:tcPr>
            <w:tcW w:w="3672" w:type="dxa"/>
            <w:vAlign w:val="center"/>
          </w:tcPr>
          <w:p w14:paraId="34DB255F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If a fine remains imposable, due date must be at least 30 days after delivery.</w:t>
            </w:r>
          </w:p>
        </w:tc>
        <w:tc>
          <w:tcPr>
            <w:tcW w:w="5472" w:type="dxa"/>
            <w:vAlign w:val="center"/>
          </w:tcPr>
          <w:p w14:paraId="56357DAF" w14:textId="77777777" w:rsidR="006603B8" w:rsidRDefault="00616B76">
            <w:pPr>
              <w:spacing w:before="40" w:after="40" w:line="240" w:lineRule="auto"/>
            </w:pPr>
            <w:r>
              <w:rPr>
                <w:sz w:val="20"/>
              </w:rPr>
              <w:t>Use the committee-set lawful date. Verify qualifying cure and exact authorized amount before collection.</w:t>
            </w:r>
          </w:p>
        </w:tc>
      </w:tr>
    </w:tbl>
    <w:p w14:paraId="3773E8A5" w14:textId="77777777" w:rsidR="006603B8" w:rsidRDefault="006603B8"/>
    <w:p w14:paraId="74B0C633" w14:textId="77777777" w:rsidR="006603B8" w:rsidRDefault="00616B76">
      <w:r>
        <w:rPr>
          <w:b/>
        </w:rPr>
        <w:t xml:space="preserve">Cure may change the outcome before or </w:t>
      </w:r>
      <w:r>
        <w:rPr>
          <w:b/>
        </w:rPr>
        <w:t>after the hearing. If cured before the hearing or in the manner specified in the required written notice, the fine may not be imposed.</w:t>
      </w:r>
    </w:p>
    <w:p w14:paraId="3CB07E93" w14:textId="77777777" w:rsidR="006603B8" w:rsidRDefault="00616B76">
      <w:pPr>
        <w:pStyle w:val="Heading2"/>
      </w:pPr>
      <w:r>
        <w:t>At the hearing</w:t>
      </w:r>
    </w:p>
    <w:p w14:paraId="59F4A48B" w14:textId="77777777" w:rsidR="006603B8" w:rsidRDefault="00616B76">
      <w:r>
        <w:t>• Remain impartial. Confirm the cited rule, proposed amount, notice and current cure evidence.</w:t>
      </w:r>
    </w:p>
    <w:p w14:paraId="19594BDB" w14:textId="77777777" w:rsidR="006603B8" w:rsidRDefault="00616B76">
      <w:r>
        <w:t xml:space="preserve">• Give the </w:t>
      </w:r>
      <w:r>
        <w:t>owner a meaningful opportunity to respond and present evidence, including remotely.</w:t>
      </w:r>
    </w:p>
    <w:p w14:paraId="11BFBE7E" w14:textId="77777777" w:rsidR="006603B8" w:rsidRDefault="00616B76">
      <w:r>
        <w:t>• Record findings and each vote. A failed approval is not a fine; an owner’s absence is not proof.</w:t>
      </w:r>
    </w:p>
    <w:p w14:paraId="03FBA884" w14:textId="77777777" w:rsidR="006603B8" w:rsidRDefault="00616B76">
      <w:pPr>
        <w:pStyle w:val="Heading2"/>
      </w:pPr>
      <w:r>
        <w:t>After the hearing</w:t>
      </w:r>
    </w:p>
    <w:p w14:paraId="687C8107" w14:textId="77777777" w:rsidR="006603B8" w:rsidRDefault="00616B76">
      <w:r>
        <w:t>Give us the exact decision and any payment date so we c</w:t>
      </w:r>
      <w:r>
        <w:t>an coordinate written findings, the Board report, delivery tracking, minutes and accounting. Do not direct collection of an unapproved fine or one barred by qualifying cure.</w:t>
      </w:r>
    </w:p>
    <w:p w14:paraId="0B6EE8C6" w14:textId="77777777" w:rsidR="006603B8" w:rsidRDefault="00616B76">
      <w:r>
        <w:t>Package references: F06 eligibility; F07–F08 decision sheet; F12 delivery log; L01</w:t>
      </w:r>
      <w:r>
        <w:t>/L02/L04 with L03 findings; L05/L06 Board report.</w:t>
      </w:r>
    </w:p>
    <w:p w14:paraId="38E4B7BE" w14:textId="77777777" w:rsidR="006603B8" w:rsidRDefault="00616B76">
      <w:r>
        <w:t>Authority: §720.305(2)(b)–(f), Florida Statutes (2026). Reviewed September 29, 2026.</w:t>
      </w:r>
      <w:r>
        <w:br/>
        <w:t>https://www.flsenate.gov/Laws/Statutes/2026/720.305</w:t>
      </w:r>
    </w:p>
    <w:sectPr w:rsidR="006603B8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4422C" w14:textId="77777777" w:rsidR="00000000" w:rsidRDefault="00616B76">
      <w:pPr>
        <w:spacing w:after="0" w:line="240" w:lineRule="auto"/>
      </w:pPr>
      <w:r>
        <w:separator/>
      </w:r>
    </w:p>
  </w:endnote>
  <w:endnote w:type="continuationSeparator" w:id="0">
    <w:p w14:paraId="29CDF219" w14:textId="77777777" w:rsidR="00000000" w:rsidRDefault="0061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78081" w14:textId="77777777" w:rsidR="00616B76" w:rsidRDefault="00616B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AFC8C" w14:textId="77777777" w:rsidR="006603B8" w:rsidRDefault="00616B76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</w:r>
    <w:r>
      <w:rPr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7D079" w14:textId="77777777" w:rsidR="00616B76" w:rsidRDefault="00616B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20CD6" w14:textId="77777777" w:rsidR="00000000" w:rsidRDefault="00616B76">
      <w:pPr>
        <w:spacing w:after="0" w:line="240" w:lineRule="auto"/>
      </w:pPr>
      <w:r>
        <w:separator/>
      </w:r>
    </w:p>
  </w:footnote>
  <w:footnote w:type="continuationSeparator" w:id="0">
    <w:p w14:paraId="4BC049E4" w14:textId="77777777" w:rsidR="00000000" w:rsidRDefault="00616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2C625" w14:textId="77777777" w:rsidR="00616B76" w:rsidRDefault="00616B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52B8D" w14:textId="77777777" w:rsidR="00616B76" w:rsidRDefault="00616B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0F9D2" w14:textId="77777777" w:rsidR="00616B76" w:rsidRDefault="00616B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6B76"/>
    <w:rsid w:val="006603B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0CCB56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member overview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