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76"/>
        <w:gridCol w:w="5688"/>
        <w:gridCol w:w="2736"/>
      </w:tblGrid>
      <w:tr w:rsidR="00FF2E8B" w14:paraId="36D581B8" w14:textId="77777777">
        <w:trPr>
          <w:jc w:val="center"/>
        </w:trPr>
        <w:tc>
          <w:tcPr>
            <w:tcW w:w="23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BFFAF" w14:textId="77777777" w:rsidR="00FF2E8B" w:rsidRDefault="00EA7AE0">
            <w:pPr>
              <w:spacing w:after="120"/>
            </w:pPr>
            <w:r>
              <w:rPr>
                <w:rFonts w:cs="Calibri"/>
                <w:b/>
                <w:color w:val="646464"/>
                <w:szCs w:val="20"/>
              </w:rPr>
              <w:br/>
            </w:r>
          </w:p>
        </w:tc>
        <w:tc>
          <w:tcPr>
            <w:tcW w:w="568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FCACD2" w14:textId="77777777" w:rsidR="00FF2E8B" w:rsidRDefault="00EA7AE0">
            <w:pPr>
              <w:spacing w:after="120"/>
              <w:jc w:val="center"/>
            </w:pPr>
            <w:r>
              <w:rPr>
                <w:rFonts w:cs="Calibri"/>
                <w:b/>
                <w:color w:val="1F1F1F"/>
                <w:szCs w:val="20"/>
              </w:rPr>
              <w:t>[ASSOCIATION NAME]</w:t>
            </w:r>
            <w:r>
              <w:rPr>
                <w:rFonts w:cs="Calibri"/>
                <w:b/>
                <w:color w:val="1F1F1F"/>
                <w:szCs w:val="20"/>
              </w:rPr>
              <w:br/>
            </w:r>
            <w:r>
              <w:rPr>
                <w:rFonts w:cs="Calibri"/>
                <w:color w:val="464646"/>
                <w:szCs w:val="20"/>
              </w:rPr>
              <w:t>c/o myHomeSpot.com</w:t>
            </w:r>
            <w:r>
              <w:rPr>
                <w:rFonts w:cs="Calibri"/>
                <w:color w:val="464646"/>
                <w:szCs w:val="20"/>
              </w:rPr>
              <w:br/>
              <w:t>225 N Pace Blvd, Pensacola, FL 32505</w:t>
            </w:r>
          </w:p>
        </w:tc>
        <w:tc>
          <w:tcPr>
            <w:tcW w:w="27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7EE2BC" w14:textId="77777777" w:rsidR="00FF2E8B" w:rsidRDefault="00EA7AE0">
            <w:pPr>
              <w:spacing w:after="0"/>
              <w:jc w:val="right"/>
            </w:pPr>
            <w:r>
              <w:rPr>
                <w:rFonts w:cs="Calibri"/>
                <w:noProof/>
                <w:szCs w:val="20"/>
              </w:rPr>
              <w:drawing>
                <wp:inline distT="0" distB="0" distL="0" distR="0" wp14:anchorId="6A6F327B" wp14:editId="46F08B8C">
                  <wp:extent cx="1234440" cy="411480"/>
                  <wp:effectExtent l="0" t="0" r="0" b="0"/>
                  <wp:docPr id="1" name="Picture 1" descr="myHomeSpot cyan roo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HS Logo 224x100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CD1618" w14:textId="77777777" w:rsidR="00FF2E8B" w:rsidRDefault="00EA7AE0">
            <w:pPr>
              <w:spacing w:after="120"/>
              <w:jc w:val="right"/>
            </w:pPr>
            <w:r>
              <w:rPr>
                <w:rFonts w:cs="Calibri"/>
                <w:color w:val="5A5A5A"/>
                <w:szCs w:val="20"/>
              </w:rPr>
              <w:br/>
            </w:r>
            <w:r>
              <w:rPr>
                <w:rFonts w:cs="Calibri"/>
                <w:color w:val="5A5A5A"/>
                <w:szCs w:val="20"/>
              </w:rPr>
              <w:br/>
            </w:r>
          </w:p>
        </w:tc>
      </w:tr>
    </w:tbl>
    <w:p w14:paraId="37DE3202" w14:textId="77777777" w:rsidR="00FF2E8B" w:rsidRDefault="00FF2E8B">
      <w:pPr>
        <w:keepLines/>
        <w:pBdr>
          <w:bottom w:val="single" w:sz="6" w:space="1" w:color="0070C0"/>
        </w:pBdr>
        <w:spacing w:after="0"/>
      </w:pPr>
    </w:p>
    <w:p w14:paraId="6231391C" w14:textId="77777777" w:rsidR="00FF2E8B" w:rsidRDefault="00EA7AE0">
      <w:pPr>
        <w:keepLines/>
        <w:spacing w:after="160"/>
      </w:pPr>
      <w:r>
        <w:rPr>
          <w:rFonts w:cs="Calibri"/>
          <w:szCs w:val="20"/>
        </w:rPr>
        <w:t>[DATE]</w:t>
      </w:r>
    </w:p>
    <w:p w14:paraId="1568E4D4" w14:textId="77777777" w:rsidR="00FF2E8B" w:rsidRDefault="00EA7AE0">
      <w:pPr>
        <w:keepLines/>
        <w:spacing w:after="0"/>
      </w:pPr>
      <w:r>
        <w:rPr>
          <w:rFonts w:cs="Calibri"/>
          <w:b/>
          <w:szCs w:val="20"/>
        </w:rPr>
        <w:t>[OWNER NAME]</w:t>
      </w:r>
      <w:r>
        <w:rPr>
          <w:rFonts w:cs="Calibri"/>
          <w:b/>
          <w:szCs w:val="20"/>
        </w:rPr>
        <w:br/>
      </w:r>
      <w:r>
        <w:rPr>
          <w:rFonts w:cs="Calibri"/>
          <w:szCs w:val="20"/>
        </w:rPr>
        <w:t>[MAILING ADDRESS]</w:t>
      </w:r>
      <w:r>
        <w:rPr>
          <w:rFonts w:cs="Calibri"/>
          <w:szCs w:val="20"/>
        </w:rPr>
        <w:br/>
        <w:t>[CITY, STATE ZIP]</w:t>
      </w:r>
      <w:r>
        <w:rPr>
          <w:rFonts w:cs="Calibri"/>
          <w:szCs w:val="20"/>
        </w:rPr>
        <w:br/>
        <w:t>[OWNER EMAIL, IF AVAILABLE]</w:t>
      </w:r>
    </w:p>
    <w:p w14:paraId="741F63F1" w14:textId="77777777" w:rsidR="00FF2E8B" w:rsidRDefault="00EA7AE0">
      <w:pPr>
        <w:keepNext/>
        <w:keepLines/>
        <w:spacing w:before="120" w:after="160"/>
      </w:pPr>
      <w:r>
        <w:rPr>
          <w:rFonts w:cs="Calibri"/>
          <w:b/>
          <w:szCs w:val="20"/>
        </w:rPr>
        <w:t>RE: NOTICE OF FINING COMMITTEE DECISION - [HOA Fine Approved]</w:t>
      </w:r>
    </w:p>
    <w:tbl>
      <w:tblPr>
        <w:tblW w:w="0" w:type="auto"/>
        <w:jc w:val="center"/>
        <w:tblBorders>
          <w:top w:val="single" w:sz="4" w:space="0" w:color="C7C7C7"/>
          <w:left w:val="single" w:sz="4" w:space="0" w:color="C7C7C7"/>
          <w:bottom w:val="single" w:sz="4" w:space="0" w:color="C7C7C7"/>
          <w:right w:val="single" w:sz="4" w:space="0" w:color="C7C7C7"/>
          <w:insideH w:val="single" w:sz="4" w:space="0" w:color="C7C7C7"/>
          <w:insideV w:val="single" w:sz="4" w:space="0" w:color="C7C7C7"/>
        </w:tblBorders>
        <w:tblLook w:val="04A0" w:firstRow="1" w:lastRow="0" w:firstColumn="1" w:lastColumn="0" w:noHBand="0" w:noVBand="1"/>
      </w:tblPr>
      <w:tblGrid>
        <w:gridCol w:w="5357"/>
        <w:gridCol w:w="5357"/>
      </w:tblGrid>
      <w:tr w:rsidR="00FF2E8B" w14:paraId="0AB7197A" w14:textId="77777777">
        <w:trPr>
          <w:jc w:val="center"/>
        </w:trPr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4A06F7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Property:</w:t>
            </w:r>
            <w:r>
              <w:rPr>
                <w:rFonts w:cs="Calibri"/>
                <w:szCs w:val="20"/>
              </w:rPr>
              <w:t xml:space="preserve"> [PROPERTY ADDRESS / UNIT]</w:t>
            </w:r>
          </w:p>
        </w:tc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FA19A7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Violation Status:</w:t>
            </w:r>
            <w:r>
              <w:rPr>
                <w:rFonts w:cs="Calibri"/>
                <w:szCs w:val="20"/>
              </w:rPr>
              <w:t xml:space="preserve"> [NOT CURED / CONTINUING]</w:t>
            </w:r>
          </w:p>
        </w:tc>
      </w:tr>
      <w:tr w:rsidR="00FF2E8B" w14:paraId="0B10625C" w14:textId="77777777">
        <w:trPr>
          <w:jc w:val="center"/>
        </w:trPr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590FE6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Violation:</w:t>
            </w:r>
            <w:r>
              <w:rPr>
                <w:rFonts w:cs="Calibri"/>
                <w:szCs w:val="20"/>
              </w:rPr>
              <w:t xml:space="preserve"> [NATURE OF VIOLATION]</w:t>
            </w:r>
          </w:p>
        </w:tc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3B555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Governing Provision:</w:t>
            </w:r>
            <w:r>
              <w:rPr>
                <w:rFonts w:cs="Calibri"/>
                <w:szCs w:val="20"/>
              </w:rPr>
              <w:t xml:space="preserve"> [SECTION / RULE]</w:t>
            </w:r>
          </w:p>
        </w:tc>
      </w:tr>
      <w:tr w:rsidR="00FF2E8B" w14:paraId="13032EFD" w14:textId="77777777">
        <w:trPr>
          <w:jc w:val="center"/>
        </w:trPr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9A2D28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Board Meeting:</w:t>
            </w:r>
            <w:r>
              <w:rPr>
                <w:rFonts w:cs="Calibri"/>
                <w:szCs w:val="20"/>
              </w:rPr>
              <w:t xml:space="preserve"> [DATE]</w:t>
            </w:r>
          </w:p>
        </w:tc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C300D1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Board Fine Levied:</w:t>
            </w:r>
            <w:r>
              <w:rPr>
                <w:rFonts w:cs="Calibri"/>
                <w:szCs w:val="20"/>
              </w:rPr>
              <w:t xml:space="preserve"> $[AMOUNT]</w:t>
            </w:r>
          </w:p>
        </w:tc>
      </w:tr>
      <w:tr w:rsidR="00FF2E8B" w14:paraId="7FCBAF25" w14:textId="77777777">
        <w:trPr>
          <w:jc w:val="center"/>
        </w:trPr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2E6A50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Committee Meeting:</w:t>
            </w:r>
            <w:r>
              <w:rPr>
                <w:rFonts w:cs="Calibri"/>
                <w:szCs w:val="20"/>
              </w:rPr>
              <w:t xml:space="preserve"> [DATE]</w:t>
            </w:r>
          </w:p>
        </w:tc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B16711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Committee Decision:</w:t>
            </w:r>
            <w:r>
              <w:rPr>
                <w:rFonts w:cs="Calibri"/>
                <w:szCs w:val="20"/>
              </w:rPr>
              <w:t xml:space="preserve"> APPROVED</w:t>
            </w:r>
          </w:p>
        </w:tc>
      </w:tr>
      <w:tr w:rsidR="00FF2E8B" w14:paraId="340794C5" w14:textId="77777777">
        <w:trPr>
          <w:jc w:val="center"/>
        </w:trPr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0B1295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Fine Basis:</w:t>
            </w:r>
            <w:r>
              <w:rPr>
                <w:rFonts w:cs="Calibri"/>
                <w:szCs w:val="20"/>
              </w:rPr>
              <w:t xml:space="preserve"> [ONE-TIME / CONTINUING]</w:t>
            </w:r>
          </w:p>
        </w:tc>
        <w:tc>
          <w:tcPr>
            <w:tcW w:w="5357" w:type="dxa"/>
            <w:shd w:val="clear" w:color="auto" w:fill="F8FAFB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D4A695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Daily Fine, if applicable:</w:t>
            </w:r>
            <w:r>
              <w:rPr>
                <w:rFonts w:cs="Calibri"/>
                <w:szCs w:val="20"/>
              </w:rPr>
              <w:t xml:space="preserve"> $[AMOUNT]</w:t>
            </w:r>
          </w:p>
        </w:tc>
      </w:tr>
      <w:tr w:rsidR="00FF2E8B" w14:paraId="20CCEE58" w14:textId="77777777">
        <w:trPr>
          <w:jc w:val="center"/>
        </w:trPr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E3201C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Fine Amount Due:</w:t>
            </w:r>
            <w:r>
              <w:rPr>
                <w:rFonts w:cs="Calibri"/>
                <w:szCs w:val="20"/>
              </w:rPr>
              <w:t xml:space="preserve"> $[FINAL AMOUNT]</w:t>
            </w:r>
          </w:p>
        </w:tc>
        <w:tc>
          <w:tcPr>
            <w:tcW w:w="535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53A425" w14:textId="77777777" w:rsidR="00FF2E8B" w:rsidRDefault="00EA7AE0">
            <w:pPr>
              <w:spacing w:after="120"/>
            </w:pPr>
            <w:r>
              <w:rPr>
                <w:rFonts w:cs="Calibri"/>
                <w:b/>
                <w:szCs w:val="20"/>
              </w:rPr>
              <w:t>Fine Due Date:</w:t>
            </w:r>
            <w:r>
              <w:rPr>
                <w:rFonts w:cs="Calibri"/>
                <w:szCs w:val="20"/>
              </w:rPr>
              <w:t xml:space="preserve"> [DATE]</w:t>
            </w:r>
          </w:p>
        </w:tc>
      </w:tr>
    </w:tbl>
    <w:p w14:paraId="70E063B5" w14:textId="77777777" w:rsidR="00FF2E8B" w:rsidRDefault="00FF2E8B">
      <w:pPr>
        <w:keepLines/>
        <w:spacing w:after="0"/>
      </w:pPr>
    </w:p>
    <w:p w14:paraId="6B5E0A5E" w14:textId="77777777" w:rsidR="00FF2E8B" w:rsidRDefault="00EA7AE0">
      <w:pPr>
        <w:keepLines/>
        <w:spacing w:before="40" w:after="120"/>
      </w:pPr>
      <w:r>
        <w:rPr>
          <w:rFonts w:cs="Calibri"/>
          <w:szCs w:val="20"/>
        </w:rPr>
        <w:t xml:space="preserve">Dear [OWNER NAME]: This letter constitutes written notice of the Fining Committee's decision concerning the </w:t>
      </w:r>
      <w:r>
        <w:rPr>
          <w:rFonts w:cs="Calibri"/>
          <w:szCs w:val="20"/>
        </w:rPr>
        <w:t>violation identified above under Section 720.305, Florida Statutes.</w:t>
      </w:r>
    </w:p>
    <w:p w14:paraId="11C09C7B" w14:textId="77777777" w:rsidR="00FF2E8B" w:rsidRDefault="00EA7AE0">
      <w:pPr>
        <w:keepLines/>
        <w:spacing w:after="120"/>
      </w:pPr>
      <w:r>
        <w:rPr>
          <w:rFonts w:cs="Calibri"/>
          <w:szCs w:val="20"/>
        </w:rPr>
        <w:t xml:space="preserve">The Fining Committee, by majority vote, confirmed the fine levied by the Board. Because the violation remains uncured, the amount due is $[FINAL AMOUNT], payable no later than [DUE </w:t>
      </w:r>
      <w:r>
        <w:rPr>
          <w:rFonts w:cs="Calibri"/>
          <w:szCs w:val="20"/>
        </w:rPr>
        <w:t>DATE]. Under Fla. Stat. § 720.305(2)(f), the payment date must be at least 30 days after delivery of the Committee's written notice.</w:t>
      </w:r>
    </w:p>
    <w:p w14:paraId="253FD68E" w14:textId="77777777" w:rsidR="00FF2E8B" w:rsidRDefault="00EA7AE0">
      <w:pPr>
        <w:keepLines/>
        <w:spacing w:after="120"/>
      </w:pPr>
      <w:r>
        <w:rPr>
          <w:rFonts w:cs="Calibri"/>
          <w:b/>
          <w:szCs w:val="20"/>
        </w:rPr>
        <w:t xml:space="preserve">Payment: </w:t>
      </w:r>
      <w:r>
        <w:rPr>
          <w:rFonts w:cs="Calibri"/>
          <w:szCs w:val="20"/>
        </w:rPr>
        <w:t xml:space="preserve">Payable to [ASSOCIATION NAME], 225 N Pace Blvd, Pensacola, FL 32505, or online at </w:t>
      </w:r>
      <w:hyperlink r:id="rId9">
        <w:r>
          <w:rPr>
            <w:rFonts w:cs="Calibri"/>
            <w:color w:val="0070C0"/>
            <w:szCs w:val="20"/>
            <w:u w:val="single"/>
          </w:rPr>
          <w:t>PayNow.myHomeSpot.com</w:t>
        </w:r>
      </w:hyperlink>
      <w:r>
        <w:rPr>
          <w:rFonts w:cs="Calibri"/>
          <w:szCs w:val="20"/>
        </w:rPr>
        <w:t xml:space="preserve"> using Association ID [XXXX] and Management ID 2539.</w:t>
      </w:r>
    </w:p>
    <w:p w14:paraId="1D16BE16" w14:textId="77777777" w:rsidR="00FF2E8B" w:rsidRDefault="00EA7AE0">
      <w:pPr>
        <w:keepLines/>
        <w:spacing w:after="120"/>
      </w:pPr>
      <w:r>
        <w:rPr>
          <w:rFonts w:cs="Calibri"/>
          <w:szCs w:val="20"/>
        </w:rPr>
        <w:t>If the fine is not timely paid, the Association may pursue collection and other remedies authorized by Fla. Stat. § 720.305. Reasonable attorney fees and costs may b</w:t>
      </w:r>
      <w:r>
        <w:rPr>
          <w:rFonts w:cs="Calibri"/>
          <w:szCs w:val="20"/>
        </w:rPr>
        <w:t>e awarded as provided by law after the noticed payment date and applicable appeal period. If a monetary obligation remains more than 90 days delinquent, the Association may, after the required Board action and notice, suspend certain common-area or facilit</w:t>
      </w:r>
      <w:r>
        <w:rPr>
          <w:rFonts w:cs="Calibri"/>
          <w:szCs w:val="20"/>
        </w:rPr>
        <w:t>y use rights and voting rights until the delinquency is paid. A fine of less than $1,000 may not become a lien against the parcel.</w:t>
      </w:r>
    </w:p>
    <w:tbl>
      <w:tblPr>
        <w:tblW w:w="0" w:type="auto"/>
        <w:jc w:val="center"/>
        <w:tblBorders>
          <w:top w:val="single" w:sz="5" w:space="0" w:color="9DC3E6"/>
          <w:left w:val="single" w:sz="5" w:space="0" w:color="9DC3E6"/>
          <w:bottom w:val="single" w:sz="5" w:space="0" w:color="9DC3E6"/>
          <w:right w:val="single" w:sz="5" w:space="0" w:color="9DC3E6"/>
          <w:insideH w:val="single" w:sz="5" w:space="0" w:color="9DC3E6"/>
          <w:insideV w:val="single" w:sz="5" w:space="0" w:color="9DC3E6"/>
        </w:tblBorders>
        <w:tblLook w:val="04A0" w:firstRow="1" w:lastRow="0" w:firstColumn="1" w:lastColumn="0" w:noHBand="0" w:noVBand="1"/>
      </w:tblPr>
      <w:tblGrid>
        <w:gridCol w:w="10800"/>
      </w:tblGrid>
      <w:tr w:rsidR="00FF2E8B" w14:paraId="32AA611D" w14:textId="77777777">
        <w:trPr>
          <w:jc w:val="center"/>
        </w:trPr>
        <w:tc>
          <w:tcPr>
            <w:tcW w:w="10800" w:type="dxa"/>
            <w:shd w:val="clear" w:color="auto" w:fill="EAF3F8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703D3" w14:textId="77777777" w:rsidR="00FF2E8B" w:rsidRDefault="00EA7AE0">
            <w:pPr>
              <w:spacing w:after="120"/>
            </w:pPr>
            <w:r>
              <w:rPr>
                <w:rFonts w:cs="Calibri"/>
                <w:b/>
                <w:color w:val="005082"/>
                <w:szCs w:val="20"/>
              </w:rPr>
              <w:t xml:space="preserve">IMPORTANT NOTICE ABOUT FUTURE VIOLATIONS. </w:t>
            </w:r>
            <w:r>
              <w:rPr>
                <w:rFonts w:cs="Calibri"/>
                <w:szCs w:val="20"/>
              </w:rPr>
              <w:t>Compliance with the governing documents is required at all times. Except where appl</w:t>
            </w:r>
            <w:r>
              <w:rPr>
                <w:rFonts w:cs="Calibri"/>
                <w:szCs w:val="20"/>
              </w:rPr>
              <w:t>icable law or the governing documents require otherwise, the Association is not required to provide a separate preliminary courtesy warning before beginning the statutory fining process. Each future occurrence may result in a new proposed fine when the vio</w:t>
            </w:r>
            <w:r>
              <w:rPr>
                <w:rFonts w:cs="Calibri"/>
                <w:szCs w:val="20"/>
              </w:rPr>
              <w:t>lation occurs, subject to the required statutory notice and Fining Committee process. For a continuing violation, Fla. Stat. § 720.305(2) permits a fine for each day the violation continues based on a single statutory notice and opportunity for hearing. Un</w:t>
            </w:r>
            <w:r>
              <w:rPr>
                <w:rFonts w:cs="Calibri"/>
                <w:szCs w:val="20"/>
              </w:rPr>
              <w:t xml:space="preserve">less the governing documents provide otherwise, a fine may not exceed $100 per violation or $1,000 in the aggregate. If the violation is cured before the hearing or in the manner specified in the statutory written notice, the fine or suspension may not be </w:t>
            </w:r>
            <w:r>
              <w:rPr>
                <w:rFonts w:cs="Calibri"/>
                <w:szCs w:val="20"/>
              </w:rPr>
              <w:t>imposed. Do not rely upon receiving a courtesy warning before future enforcement action.</w:t>
            </w:r>
          </w:p>
        </w:tc>
      </w:tr>
    </w:tbl>
    <w:p w14:paraId="4D5C567F" w14:textId="77777777" w:rsidR="00FF2E8B" w:rsidRDefault="00EA7AE0">
      <w:pPr>
        <w:keepNext/>
        <w:keepLines/>
        <w:spacing w:before="200" w:after="0"/>
      </w:pPr>
      <w:r>
        <w:rPr>
          <w:rFonts w:cs="Calibri"/>
          <w:szCs w:val="20"/>
        </w:rPr>
        <w:t>Sincerely,</w:t>
      </w:r>
      <w:r>
        <w:rPr>
          <w:rFonts w:cs="Calibri"/>
          <w:szCs w:val="20"/>
        </w:rPr>
        <w:br/>
      </w:r>
      <w:r>
        <w:rPr>
          <w:rFonts w:cs="Calibri"/>
          <w:szCs w:val="20"/>
        </w:rPr>
        <w:br/>
        <w:t>myHomeSpot.com</w:t>
      </w:r>
      <w:r>
        <w:rPr>
          <w:rFonts w:cs="Calibri"/>
          <w:szCs w:val="20"/>
        </w:rPr>
        <w:br/>
        <w:t>as Agent for [ASSOCIATION NAME]</w:t>
      </w:r>
    </w:p>
    <w:sectPr w:rsidR="00FF2E8B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89EB4" w14:textId="77777777" w:rsidR="00000000" w:rsidRDefault="00EA7AE0">
      <w:pPr>
        <w:spacing w:after="0"/>
      </w:pPr>
      <w:r>
        <w:separator/>
      </w:r>
    </w:p>
  </w:endnote>
  <w:endnote w:type="continuationSeparator" w:id="0">
    <w:p w14:paraId="4CF239C8" w14:textId="77777777" w:rsidR="00000000" w:rsidRDefault="00EA7A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486B3" w14:textId="77777777" w:rsidR="00FF2E8B" w:rsidRDefault="00FF2E8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60BE" w14:textId="77777777" w:rsidR="00FF2E8B" w:rsidRDefault="00EA7AE0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7FCA" w14:textId="77777777" w:rsidR="00FF2E8B" w:rsidRDefault="00FF2E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38D90" w14:textId="77777777" w:rsidR="00000000" w:rsidRDefault="00EA7AE0">
      <w:pPr>
        <w:spacing w:after="0"/>
      </w:pPr>
      <w:r>
        <w:separator/>
      </w:r>
    </w:p>
  </w:footnote>
  <w:footnote w:type="continuationSeparator" w:id="0">
    <w:p w14:paraId="124EB57E" w14:textId="77777777" w:rsidR="00000000" w:rsidRDefault="00EA7A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B665D" w14:textId="77777777" w:rsidR="00FF2E8B" w:rsidRDefault="00FF2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56A7" w14:textId="77777777" w:rsidR="00FF2E8B" w:rsidRDefault="00FF2E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E500F" w14:textId="77777777" w:rsidR="00FF2E8B" w:rsidRDefault="00FF2E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A7AE0"/>
    <w:rsid w:val="00FC693F"/>
    <w:rsid w:val="00FF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A8C94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ayNow.myHomeSpot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letter: fine approved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